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96C" w:rsidRPr="000D21A5" w:rsidRDefault="00DE62EA" w:rsidP="00DE62EA">
      <w:pPr>
        <w:autoSpaceDE w:val="0"/>
        <w:autoSpaceDN w:val="0"/>
        <w:adjustRightInd w:val="0"/>
        <w:spacing w:after="0" w:line="240" w:lineRule="auto"/>
        <w:jc w:val="center"/>
        <w:rPr>
          <w:rFonts w:ascii="Arial" w:hAnsi="Arial" w:cs="Arial"/>
          <w:b/>
          <w:sz w:val="28"/>
          <w:szCs w:val="28"/>
          <w:highlight w:val="yellow"/>
          <w:u w:val="single"/>
        </w:rPr>
      </w:pPr>
      <w:r w:rsidRPr="000D21A5">
        <w:rPr>
          <w:rFonts w:ascii="Arial" w:hAnsi="Arial" w:cs="Arial"/>
          <w:b/>
          <w:sz w:val="28"/>
          <w:szCs w:val="28"/>
          <w:highlight w:val="yellow"/>
          <w:u w:val="single"/>
        </w:rPr>
        <w:t>YAKIT/PETROL ÜRÜNÜ AYIRICILAR</w:t>
      </w:r>
    </w:p>
    <w:p w:rsidR="00DE62EA" w:rsidRDefault="00DE62EA" w:rsidP="00DE62EA">
      <w:pPr>
        <w:autoSpaceDE w:val="0"/>
        <w:autoSpaceDN w:val="0"/>
        <w:adjustRightInd w:val="0"/>
        <w:spacing w:after="0" w:line="240" w:lineRule="auto"/>
        <w:jc w:val="center"/>
        <w:rPr>
          <w:rFonts w:ascii="Arial" w:hAnsi="Arial" w:cs="Arial"/>
          <w:b/>
          <w:sz w:val="28"/>
          <w:szCs w:val="28"/>
          <w:u w:val="single"/>
        </w:rPr>
      </w:pPr>
      <w:r w:rsidRPr="000D21A5">
        <w:rPr>
          <w:rFonts w:ascii="Arial" w:hAnsi="Arial" w:cs="Arial"/>
          <w:b/>
          <w:sz w:val="28"/>
          <w:szCs w:val="28"/>
          <w:highlight w:val="yellow"/>
          <w:u w:val="single"/>
        </w:rPr>
        <w:t>(LIGHT LIQUID SEPERATORS)</w:t>
      </w:r>
    </w:p>
    <w:p w:rsidR="00DE62EA" w:rsidRPr="00DE62EA" w:rsidRDefault="00DE62EA" w:rsidP="00DE62EA">
      <w:pPr>
        <w:autoSpaceDE w:val="0"/>
        <w:autoSpaceDN w:val="0"/>
        <w:adjustRightInd w:val="0"/>
        <w:spacing w:after="0" w:line="240" w:lineRule="auto"/>
        <w:jc w:val="center"/>
        <w:rPr>
          <w:rFonts w:ascii="Arial" w:hAnsi="Arial" w:cs="Arial"/>
          <w:b/>
          <w:sz w:val="28"/>
          <w:szCs w:val="28"/>
          <w:u w:val="single"/>
        </w:rPr>
      </w:pPr>
    </w:p>
    <w:p w:rsidR="00DE62EA" w:rsidRDefault="00DE62EA" w:rsidP="00BE56FA">
      <w:pPr>
        <w:autoSpaceDE w:val="0"/>
        <w:autoSpaceDN w:val="0"/>
        <w:adjustRightInd w:val="0"/>
        <w:spacing w:after="0" w:line="240" w:lineRule="auto"/>
        <w:rPr>
          <w:rFonts w:ascii="Arial" w:hAnsi="Arial" w:cs="Arial"/>
        </w:rPr>
      </w:pPr>
    </w:p>
    <w:p w:rsidR="00DE62EA" w:rsidRDefault="00DE62EA" w:rsidP="00BE56FA">
      <w:pPr>
        <w:autoSpaceDE w:val="0"/>
        <w:autoSpaceDN w:val="0"/>
        <w:adjustRightInd w:val="0"/>
        <w:spacing w:after="0" w:line="240" w:lineRule="auto"/>
        <w:rPr>
          <w:rFonts w:ascii="Arial" w:hAnsi="Arial" w:cs="Arial"/>
        </w:rPr>
      </w:pPr>
    </w:p>
    <w:p w:rsidR="00DE62EA" w:rsidRDefault="00DE62EA" w:rsidP="00DE62EA">
      <w:pPr>
        <w:autoSpaceDE w:val="0"/>
        <w:autoSpaceDN w:val="0"/>
        <w:adjustRightInd w:val="0"/>
        <w:spacing w:after="0" w:line="240" w:lineRule="auto"/>
        <w:jc w:val="center"/>
        <w:rPr>
          <w:rFonts w:ascii="Arial" w:hAnsi="Arial" w:cs="Arial"/>
        </w:rPr>
      </w:pPr>
    </w:p>
    <w:p w:rsidR="00F2596C" w:rsidRPr="00DE62EA" w:rsidRDefault="00F2596C" w:rsidP="00F83B98">
      <w:pPr>
        <w:pStyle w:val="ListeParagraf"/>
        <w:autoSpaceDE w:val="0"/>
        <w:autoSpaceDN w:val="0"/>
        <w:adjustRightInd w:val="0"/>
        <w:spacing w:after="0" w:line="240" w:lineRule="auto"/>
        <w:jc w:val="center"/>
        <w:rPr>
          <w:rFonts w:ascii="Arial" w:hAnsi="Arial" w:cs="Arial"/>
          <w:b/>
          <w:bCs/>
          <w:sz w:val="26"/>
          <w:szCs w:val="26"/>
        </w:rPr>
      </w:pPr>
      <w:r w:rsidRPr="00D77CB4">
        <w:rPr>
          <w:rFonts w:ascii="Arial" w:hAnsi="Arial" w:cs="Arial"/>
          <w:b/>
          <w:bCs/>
          <w:sz w:val="26"/>
          <w:szCs w:val="26"/>
        </w:rPr>
        <w:t>YAKIT / PETROL ÜRÜNÜ AYIRICI,  ZEM</w:t>
      </w:r>
      <w:r w:rsidRPr="00D77CB4">
        <w:rPr>
          <w:rFonts w:ascii="Arial" w:hAnsi="Arial" w:cs="Arial"/>
          <w:b/>
          <w:sz w:val="26"/>
          <w:szCs w:val="26"/>
        </w:rPr>
        <w:t>İ</w:t>
      </w:r>
      <w:r w:rsidRPr="00D77CB4">
        <w:rPr>
          <w:rFonts w:ascii="Arial" w:hAnsi="Arial" w:cs="Arial"/>
          <w:b/>
          <w:bCs/>
          <w:sz w:val="26"/>
          <w:szCs w:val="26"/>
        </w:rPr>
        <w:t>NE GÖMME MONTEL</w:t>
      </w:r>
      <w:r w:rsidRPr="00D77CB4">
        <w:rPr>
          <w:rFonts w:ascii="Arial" w:hAnsi="Arial" w:cs="Arial"/>
          <w:b/>
          <w:sz w:val="26"/>
          <w:szCs w:val="26"/>
        </w:rPr>
        <w:t>İ</w:t>
      </w:r>
    </w:p>
    <w:p w:rsidR="00DE62EA" w:rsidRPr="00D77CB4" w:rsidRDefault="00DE62EA" w:rsidP="00F83B98">
      <w:pPr>
        <w:pStyle w:val="ListeParagraf"/>
        <w:autoSpaceDE w:val="0"/>
        <w:autoSpaceDN w:val="0"/>
        <w:adjustRightInd w:val="0"/>
        <w:spacing w:after="0" w:line="240" w:lineRule="auto"/>
        <w:jc w:val="center"/>
        <w:rPr>
          <w:rFonts w:ascii="Arial" w:hAnsi="Arial" w:cs="Arial"/>
          <w:b/>
          <w:bCs/>
          <w:sz w:val="26"/>
          <w:szCs w:val="26"/>
        </w:rPr>
      </w:pPr>
      <w:r>
        <w:rPr>
          <w:rFonts w:ascii="Arial" w:hAnsi="Arial" w:cs="Arial"/>
          <w:b/>
          <w:sz w:val="26"/>
          <w:szCs w:val="26"/>
        </w:rPr>
        <w:t>(</w:t>
      </w:r>
      <w:proofErr w:type="spellStart"/>
      <w:r>
        <w:rPr>
          <w:rFonts w:ascii="Arial" w:hAnsi="Arial" w:cs="Arial"/>
          <w:b/>
          <w:sz w:val="26"/>
          <w:szCs w:val="26"/>
        </w:rPr>
        <w:t>oil</w:t>
      </w:r>
      <w:proofErr w:type="spellEnd"/>
      <w:r>
        <w:rPr>
          <w:rFonts w:ascii="Arial" w:hAnsi="Arial" w:cs="Arial"/>
          <w:b/>
          <w:sz w:val="26"/>
          <w:szCs w:val="26"/>
        </w:rPr>
        <w:t xml:space="preserve"> – </w:t>
      </w:r>
      <w:proofErr w:type="spellStart"/>
      <w:r>
        <w:rPr>
          <w:rFonts w:ascii="Arial" w:hAnsi="Arial" w:cs="Arial"/>
          <w:b/>
          <w:sz w:val="26"/>
          <w:szCs w:val="26"/>
        </w:rPr>
        <w:t>fuel</w:t>
      </w:r>
      <w:proofErr w:type="spellEnd"/>
      <w:r>
        <w:rPr>
          <w:rFonts w:ascii="Arial" w:hAnsi="Arial" w:cs="Arial"/>
          <w:b/>
          <w:sz w:val="26"/>
          <w:szCs w:val="26"/>
        </w:rPr>
        <w:t xml:space="preserve"> </w:t>
      </w:r>
      <w:proofErr w:type="spellStart"/>
      <w:r>
        <w:rPr>
          <w:rFonts w:ascii="Arial" w:hAnsi="Arial" w:cs="Arial"/>
          <w:b/>
          <w:sz w:val="26"/>
          <w:szCs w:val="26"/>
        </w:rPr>
        <w:t>seperator</w:t>
      </w:r>
      <w:proofErr w:type="spellEnd"/>
      <w:r>
        <w:rPr>
          <w:rFonts w:ascii="Arial" w:hAnsi="Arial" w:cs="Arial"/>
          <w:b/>
          <w:sz w:val="26"/>
          <w:szCs w:val="26"/>
        </w:rPr>
        <w:t xml:space="preserve"> NS3- NS20)</w:t>
      </w:r>
    </w:p>
    <w:p w:rsidR="00F2596C" w:rsidRDefault="00F2596C" w:rsidP="00DE62EA">
      <w:pPr>
        <w:autoSpaceDE w:val="0"/>
        <w:autoSpaceDN w:val="0"/>
        <w:adjustRightInd w:val="0"/>
        <w:spacing w:after="0" w:line="240" w:lineRule="auto"/>
        <w:jc w:val="center"/>
        <w:rPr>
          <w:rFonts w:ascii="Arial" w:hAnsi="Arial" w:cs="Arial"/>
        </w:rPr>
      </w:pPr>
    </w:p>
    <w:p w:rsidR="00DA2BFE" w:rsidRDefault="00BE56FA" w:rsidP="00400319">
      <w:pPr>
        <w:autoSpaceDE w:val="0"/>
        <w:autoSpaceDN w:val="0"/>
        <w:adjustRightInd w:val="0"/>
        <w:spacing w:after="0" w:line="240" w:lineRule="auto"/>
        <w:rPr>
          <w:rFonts w:ascii="Arial" w:hAnsi="Arial" w:cs="Arial"/>
        </w:rPr>
      </w:pPr>
      <w:r w:rsidRPr="00F2596C">
        <w:rPr>
          <w:rFonts w:ascii="Arial" w:hAnsi="Arial" w:cs="Arial"/>
        </w:rPr>
        <w:t xml:space="preserve">Avrupa Normu </w:t>
      </w:r>
      <w:proofErr w:type="spellStart"/>
      <w:r w:rsidRPr="00F2596C">
        <w:rPr>
          <w:rFonts w:ascii="Arial" w:hAnsi="Arial" w:cs="Arial"/>
        </w:rPr>
        <w:t>prEN</w:t>
      </w:r>
      <w:proofErr w:type="spellEnd"/>
      <w:r w:rsidRPr="00F2596C">
        <w:rPr>
          <w:rFonts w:ascii="Arial" w:hAnsi="Arial" w:cs="Arial"/>
        </w:rPr>
        <w:t xml:space="preserve"> 858'e uygun, zemine gömme monteli, </w:t>
      </w:r>
      <w:proofErr w:type="gramStart"/>
      <w:r w:rsidRPr="00F2596C">
        <w:rPr>
          <w:rFonts w:ascii="Arial" w:hAnsi="Arial" w:cs="Arial"/>
        </w:rPr>
        <w:t>dahili</w:t>
      </w:r>
      <w:proofErr w:type="gramEnd"/>
      <w:r w:rsidRPr="00F2596C">
        <w:rPr>
          <w:rFonts w:ascii="Arial" w:hAnsi="Arial" w:cs="Arial"/>
        </w:rPr>
        <w:t xml:space="preserve"> tortu tutuculu ve yakıt/petrol ürünü</w:t>
      </w:r>
      <w:r w:rsidR="00F2596C">
        <w:rPr>
          <w:rFonts w:ascii="Arial" w:hAnsi="Arial" w:cs="Arial"/>
        </w:rPr>
        <w:t xml:space="preserve"> </w:t>
      </w:r>
      <w:r w:rsidRPr="00F2596C">
        <w:rPr>
          <w:rFonts w:ascii="Arial" w:hAnsi="Arial" w:cs="Arial"/>
        </w:rPr>
        <w:t>ta</w:t>
      </w:r>
      <w:r w:rsidR="00F2596C">
        <w:rPr>
          <w:rFonts w:ascii="Arial" w:hAnsi="Arial" w:cs="Arial"/>
        </w:rPr>
        <w:t>ş</w:t>
      </w:r>
      <w:r w:rsidRPr="00F2596C">
        <w:rPr>
          <w:rFonts w:ascii="Arial" w:hAnsi="Arial" w:cs="Arial"/>
        </w:rPr>
        <w:t>maya kar</w:t>
      </w:r>
      <w:r w:rsidR="00F2596C">
        <w:rPr>
          <w:rFonts w:ascii="Arial" w:hAnsi="Arial" w:cs="Arial"/>
        </w:rPr>
        <w:t>ş</w:t>
      </w:r>
      <w:r w:rsidRPr="00F2596C">
        <w:rPr>
          <w:rFonts w:ascii="Arial" w:hAnsi="Arial" w:cs="Arial"/>
        </w:rPr>
        <w:t xml:space="preserve">ı otomatik </w:t>
      </w:r>
      <w:r w:rsidR="00F2596C" w:rsidRPr="00F2596C">
        <w:rPr>
          <w:rFonts w:ascii="Arial" w:hAnsi="Arial" w:cs="Arial"/>
        </w:rPr>
        <w:t>çıkış</w:t>
      </w:r>
      <w:r w:rsidRPr="00F2596C">
        <w:rPr>
          <w:rFonts w:ascii="Arial" w:hAnsi="Arial" w:cs="Arial"/>
        </w:rPr>
        <w:t xml:space="preserve"> </w:t>
      </w:r>
      <w:r w:rsidR="00F2596C">
        <w:rPr>
          <w:rFonts w:ascii="Arial" w:hAnsi="Arial" w:cs="Arial"/>
        </w:rPr>
        <w:t>kapatma sistemlidir.</w:t>
      </w:r>
      <w:r w:rsidRPr="00F2596C">
        <w:rPr>
          <w:rFonts w:ascii="Arial" w:hAnsi="Arial" w:cs="Arial"/>
        </w:rPr>
        <w:t xml:space="preserve"> 0.85-0.95g/cm3 arası </w:t>
      </w:r>
      <w:r w:rsidR="00F2596C" w:rsidRPr="00F2596C">
        <w:rPr>
          <w:rFonts w:ascii="Arial" w:hAnsi="Arial" w:cs="Arial"/>
        </w:rPr>
        <w:t>yoğunluktaki</w:t>
      </w:r>
      <w:r w:rsidRPr="00F2596C">
        <w:rPr>
          <w:rFonts w:ascii="Arial" w:hAnsi="Arial" w:cs="Arial"/>
        </w:rPr>
        <w:t xml:space="preserve"> sıvılar için kalibre</w:t>
      </w:r>
      <w:r w:rsidR="00F2596C">
        <w:rPr>
          <w:rFonts w:ascii="Arial" w:hAnsi="Arial" w:cs="Arial"/>
        </w:rPr>
        <w:t xml:space="preserve"> </w:t>
      </w:r>
      <w:r w:rsidR="00F2596C" w:rsidRPr="00F2596C">
        <w:rPr>
          <w:rFonts w:ascii="Arial" w:hAnsi="Arial" w:cs="Arial"/>
        </w:rPr>
        <w:t>edilmiş</w:t>
      </w:r>
      <w:r w:rsidRPr="00F2596C">
        <w:rPr>
          <w:rFonts w:ascii="Arial" w:hAnsi="Arial" w:cs="Arial"/>
        </w:rPr>
        <w:t xml:space="preserve">, +/-5° </w:t>
      </w:r>
      <w:r w:rsidR="00F2596C" w:rsidRPr="00F2596C">
        <w:rPr>
          <w:rFonts w:ascii="Arial" w:hAnsi="Arial" w:cs="Arial"/>
        </w:rPr>
        <w:t>eğim</w:t>
      </w:r>
      <w:r w:rsidRPr="00F2596C">
        <w:rPr>
          <w:rFonts w:ascii="Arial" w:hAnsi="Arial" w:cs="Arial"/>
        </w:rPr>
        <w:t xml:space="preserve"> ve belirtilen aralıkt</w:t>
      </w:r>
      <w:r w:rsidR="00F2596C">
        <w:rPr>
          <w:rFonts w:ascii="Arial" w:hAnsi="Arial" w:cs="Arial"/>
        </w:rPr>
        <w:t>a yükseklik ayarlı üst kısımlı. K</w:t>
      </w:r>
      <w:r w:rsidRPr="00F2596C">
        <w:rPr>
          <w:rFonts w:ascii="Arial" w:hAnsi="Arial" w:cs="Arial"/>
        </w:rPr>
        <w:t>aldırma anahtarlı pik döküm</w:t>
      </w:r>
      <w:r w:rsidR="00F2596C">
        <w:rPr>
          <w:rFonts w:ascii="Arial" w:hAnsi="Arial" w:cs="Arial"/>
        </w:rPr>
        <w:t xml:space="preserve"> </w:t>
      </w:r>
      <w:r w:rsidRPr="00F2596C">
        <w:rPr>
          <w:rFonts w:ascii="Arial" w:hAnsi="Arial" w:cs="Arial"/>
        </w:rPr>
        <w:t xml:space="preserve">malzemeden EN124 normuna göre B sınıfında 12,5 ton, D sınıfında 40 ton yüke dayanıklı </w:t>
      </w:r>
      <w:proofErr w:type="spellStart"/>
      <w:r w:rsidRPr="00F2596C">
        <w:rPr>
          <w:rFonts w:ascii="Arial" w:hAnsi="Arial" w:cs="Arial"/>
        </w:rPr>
        <w:t>menhol</w:t>
      </w:r>
      <w:proofErr w:type="spellEnd"/>
      <w:r w:rsidR="00F2596C">
        <w:rPr>
          <w:rFonts w:ascii="Arial" w:hAnsi="Arial" w:cs="Arial"/>
        </w:rPr>
        <w:t xml:space="preserve"> kapaklı ve</w:t>
      </w:r>
      <w:r w:rsidRPr="00F2596C">
        <w:rPr>
          <w:rFonts w:ascii="Arial" w:hAnsi="Arial" w:cs="Arial"/>
        </w:rPr>
        <w:t xml:space="preserve"> çelik destekli beton zeminde yolcu aracı yükü altında 700-1800 mm ve tı</w:t>
      </w:r>
      <w:r w:rsidR="00F2596C">
        <w:rPr>
          <w:rFonts w:ascii="Arial" w:hAnsi="Arial" w:cs="Arial"/>
        </w:rPr>
        <w:t xml:space="preserve">r, kamyon, </w:t>
      </w:r>
      <w:r w:rsidRPr="00F2596C">
        <w:rPr>
          <w:rFonts w:ascii="Arial" w:hAnsi="Arial" w:cs="Arial"/>
        </w:rPr>
        <w:t>treyler yükü</w:t>
      </w:r>
      <w:r w:rsidR="00F2596C">
        <w:rPr>
          <w:rFonts w:ascii="Arial" w:hAnsi="Arial" w:cs="Arial"/>
        </w:rPr>
        <w:t xml:space="preserve"> </w:t>
      </w:r>
      <w:r w:rsidRPr="00F2596C">
        <w:rPr>
          <w:rFonts w:ascii="Arial" w:hAnsi="Arial" w:cs="Arial"/>
        </w:rPr>
        <w:t xml:space="preserve">altında 700 – 1500 mm </w:t>
      </w:r>
      <w:r w:rsidR="00F2596C" w:rsidRPr="00F2596C">
        <w:rPr>
          <w:rFonts w:ascii="Arial" w:hAnsi="Arial" w:cs="Arial"/>
        </w:rPr>
        <w:t>giriş</w:t>
      </w:r>
      <w:r w:rsidRPr="00F2596C">
        <w:rPr>
          <w:rFonts w:ascii="Arial" w:hAnsi="Arial" w:cs="Arial"/>
        </w:rPr>
        <w:t xml:space="preserve"> </w:t>
      </w:r>
      <w:r w:rsidR="00F2596C" w:rsidRPr="00F2596C">
        <w:rPr>
          <w:rFonts w:ascii="Arial" w:hAnsi="Arial" w:cs="Arial"/>
        </w:rPr>
        <w:t>ağzı</w:t>
      </w:r>
      <w:r w:rsidRPr="00F2596C">
        <w:rPr>
          <w:rFonts w:ascii="Arial" w:hAnsi="Arial" w:cs="Arial"/>
        </w:rPr>
        <w:t xml:space="preserve"> </w:t>
      </w:r>
      <w:r w:rsidR="00F2596C" w:rsidRPr="00F2596C">
        <w:rPr>
          <w:rFonts w:ascii="Arial" w:hAnsi="Arial" w:cs="Arial"/>
        </w:rPr>
        <w:t>derinliğinde</w:t>
      </w:r>
      <w:r w:rsidRPr="00F2596C">
        <w:rPr>
          <w:rFonts w:ascii="Arial" w:hAnsi="Arial" w:cs="Arial"/>
        </w:rPr>
        <w:t xml:space="preserve"> test </w:t>
      </w:r>
      <w:r w:rsidR="00F2596C" w:rsidRPr="00F2596C">
        <w:rPr>
          <w:rFonts w:ascii="Arial" w:hAnsi="Arial" w:cs="Arial"/>
        </w:rPr>
        <w:t>edilmiş</w:t>
      </w:r>
      <w:r w:rsidR="00F2596C">
        <w:rPr>
          <w:rFonts w:ascii="Arial" w:hAnsi="Arial" w:cs="Arial"/>
        </w:rPr>
        <w:t>tir. M</w:t>
      </w:r>
      <w:r w:rsidRPr="00F2596C">
        <w:rPr>
          <w:rFonts w:ascii="Arial" w:hAnsi="Arial" w:cs="Arial"/>
        </w:rPr>
        <w:t xml:space="preserve">ukavemet testlerinden </w:t>
      </w:r>
      <w:r w:rsidR="00F2596C" w:rsidRPr="00F2596C">
        <w:rPr>
          <w:rFonts w:ascii="Arial" w:hAnsi="Arial" w:cs="Arial"/>
        </w:rPr>
        <w:t>geçirilmiş</w:t>
      </w:r>
      <w:r w:rsidRPr="00F2596C">
        <w:rPr>
          <w:rFonts w:ascii="Arial" w:hAnsi="Arial" w:cs="Arial"/>
        </w:rPr>
        <w:t xml:space="preserve">, </w:t>
      </w:r>
      <w:r w:rsidR="00F2596C" w:rsidRPr="00F2596C">
        <w:rPr>
          <w:rFonts w:ascii="Arial" w:hAnsi="Arial" w:cs="Arial"/>
        </w:rPr>
        <w:t>giriş</w:t>
      </w:r>
      <w:r w:rsidRPr="00F2596C">
        <w:rPr>
          <w:rFonts w:ascii="Arial" w:hAnsi="Arial" w:cs="Arial"/>
        </w:rPr>
        <w:t xml:space="preserve"> ve</w:t>
      </w:r>
      <w:r w:rsidR="00F2596C">
        <w:rPr>
          <w:rFonts w:ascii="Arial" w:hAnsi="Arial" w:cs="Arial"/>
        </w:rPr>
        <w:t xml:space="preserve"> </w:t>
      </w:r>
      <w:r w:rsidRPr="00F2596C">
        <w:rPr>
          <w:rFonts w:ascii="Arial" w:hAnsi="Arial" w:cs="Arial"/>
        </w:rPr>
        <w:t>çıkı</w:t>
      </w:r>
      <w:r w:rsidR="00F2596C">
        <w:rPr>
          <w:rFonts w:ascii="Arial" w:hAnsi="Arial" w:cs="Arial"/>
        </w:rPr>
        <w:t>ş</w:t>
      </w:r>
      <w:r w:rsidRPr="00F2596C">
        <w:rPr>
          <w:rFonts w:ascii="Arial" w:hAnsi="Arial" w:cs="Arial"/>
        </w:rPr>
        <w:t xml:space="preserve">ı DIN 19560'a göre Polietilen pis su borularına </w:t>
      </w:r>
      <w:r w:rsidR="00F2596C" w:rsidRPr="00F2596C">
        <w:rPr>
          <w:rFonts w:ascii="Arial" w:hAnsi="Arial" w:cs="Arial"/>
        </w:rPr>
        <w:t>bağlantıya</w:t>
      </w:r>
      <w:r w:rsidRPr="00F2596C">
        <w:rPr>
          <w:rFonts w:ascii="Arial" w:hAnsi="Arial" w:cs="Arial"/>
        </w:rPr>
        <w:t xml:space="preserve"> uygun, belirtilen debi, tortu ve ayırıcı</w:t>
      </w:r>
      <w:r w:rsidR="00F2596C">
        <w:rPr>
          <w:rFonts w:ascii="Arial" w:hAnsi="Arial" w:cs="Arial"/>
        </w:rPr>
        <w:t xml:space="preserve"> k</w:t>
      </w:r>
      <w:r w:rsidR="00F2596C" w:rsidRPr="00F2596C">
        <w:rPr>
          <w:rFonts w:ascii="Arial" w:hAnsi="Arial" w:cs="Arial"/>
        </w:rPr>
        <w:t>apasitelerinde</w:t>
      </w:r>
      <w:r w:rsidRPr="00F2596C">
        <w:rPr>
          <w:rFonts w:ascii="Arial" w:hAnsi="Arial" w:cs="Arial"/>
        </w:rPr>
        <w:t xml:space="preserve"> polietilen petrol ve tortu ayırıcı.</w:t>
      </w:r>
    </w:p>
    <w:p w:rsidR="00D77CB4" w:rsidRDefault="00D77CB4" w:rsidP="00400319">
      <w:pPr>
        <w:autoSpaceDE w:val="0"/>
        <w:autoSpaceDN w:val="0"/>
        <w:adjustRightInd w:val="0"/>
        <w:spacing w:after="0" w:line="240" w:lineRule="auto"/>
        <w:rPr>
          <w:rFonts w:ascii="Arial" w:hAnsi="Arial" w:cs="Arial"/>
        </w:rPr>
      </w:pPr>
    </w:p>
    <w:p w:rsidR="00D77CB4" w:rsidRDefault="00D77CB4" w:rsidP="00DE62EA">
      <w:pPr>
        <w:autoSpaceDE w:val="0"/>
        <w:autoSpaceDN w:val="0"/>
        <w:adjustRightInd w:val="0"/>
        <w:spacing w:after="0" w:line="240" w:lineRule="auto"/>
        <w:jc w:val="center"/>
        <w:rPr>
          <w:rFonts w:ascii="Arial" w:hAnsi="Arial" w:cs="Arial"/>
        </w:rPr>
      </w:pPr>
    </w:p>
    <w:p w:rsidR="00D77CB4" w:rsidRDefault="00D77CB4" w:rsidP="00DE62EA">
      <w:pPr>
        <w:autoSpaceDE w:val="0"/>
        <w:autoSpaceDN w:val="0"/>
        <w:adjustRightInd w:val="0"/>
        <w:spacing w:after="0" w:line="240" w:lineRule="auto"/>
        <w:jc w:val="center"/>
        <w:rPr>
          <w:rFonts w:ascii="Arial" w:hAnsi="Arial" w:cs="Arial"/>
        </w:rPr>
      </w:pPr>
    </w:p>
    <w:p w:rsidR="00F2596C" w:rsidRPr="00F2596C" w:rsidRDefault="00F2596C" w:rsidP="00DE62EA">
      <w:pPr>
        <w:autoSpaceDE w:val="0"/>
        <w:autoSpaceDN w:val="0"/>
        <w:adjustRightInd w:val="0"/>
        <w:spacing w:after="0" w:line="240" w:lineRule="auto"/>
        <w:jc w:val="center"/>
        <w:rPr>
          <w:rFonts w:ascii="Arial" w:hAnsi="Arial" w:cs="Arial"/>
          <w:b/>
        </w:rPr>
      </w:pPr>
    </w:p>
    <w:p w:rsidR="00F2596C" w:rsidRPr="00D77CB4" w:rsidRDefault="00F2596C" w:rsidP="00F83B98">
      <w:pPr>
        <w:pStyle w:val="ListeParagraf"/>
        <w:autoSpaceDE w:val="0"/>
        <w:autoSpaceDN w:val="0"/>
        <w:adjustRightInd w:val="0"/>
        <w:spacing w:after="0" w:line="240" w:lineRule="auto"/>
        <w:jc w:val="center"/>
        <w:rPr>
          <w:rFonts w:ascii="Arial" w:hAnsi="Arial" w:cs="Arial"/>
          <w:b/>
          <w:sz w:val="26"/>
          <w:szCs w:val="26"/>
        </w:rPr>
      </w:pPr>
      <w:r w:rsidRPr="00D77CB4">
        <w:rPr>
          <w:rFonts w:ascii="Arial" w:hAnsi="Arial" w:cs="Arial"/>
          <w:b/>
          <w:bCs/>
          <w:sz w:val="26"/>
          <w:szCs w:val="26"/>
        </w:rPr>
        <w:t>KOALESENS (B</w:t>
      </w:r>
      <w:r w:rsidRPr="00D77CB4">
        <w:rPr>
          <w:rFonts w:ascii="Arial" w:hAnsi="Arial" w:cs="Arial"/>
          <w:b/>
          <w:sz w:val="26"/>
          <w:szCs w:val="26"/>
        </w:rPr>
        <w:t>İ</w:t>
      </w:r>
      <w:r w:rsidRPr="00D77CB4">
        <w:rPr>
          <w:rFonts w:ascii="Arial" w:hAnsi="Arial" w:cs="Arial"/>
          <w:b/>
          <w:bCs/>
          <w:sz w:val="26"/>
          <w:szCs w:val="26"/>
        </w:rPr>
        <w:t>RLE</w:t>
      </w:r>
      <w:r w:rsidRPr="00D77CB4">
        <w:rPr>
          <w:rFonts w:ascii="Arial" w:hAnsi="Arial" w:cs="Arial"/>
          <w:b/>
          <w:sz w:val="26"/>
          <w:szCs w:val="26"/>
        </w:rPr>
        <w:t>Şİ</w:t>
      </w:r>
      <w:r w:rsidRPr="00D77CB4">
        <w:rPr>
          <w:rFonts w:ascii="Arial" w:hAnsi="Arial" w:cs="Arial"/>
          <w:b/>
          <w:bCs/>
          <w:sz w:val="26"/>
          <w:szCs w:val="26"/>
        </w:rPr>
        <w:t>M) S</w:t>
      </w:r>
      <w:r w:rsidRPr="00D77CB4">
        <w:rPr>
          <w:rFonts w:ascii="Arial" w:hAnsi="Arial" w:cs="Arial"/>
          <w:b/>
          <w:sz w:val="26"/>
          <w:szCs w:val="26"/>
        </w:rPr>
        <w:t>İ</w:t>
      </w:r>
      <w:r w:rsidRPr="00D77CB4">
        <w:rPr>
          <w:rFonts w:ascii="Arial" w:hAnsi="Arial" w:cs="Arial"/>
          <w:b/>
          <w:bCs/>
          <w:sz w:val="26"/>
          <w:szCs w:val="26"/>
        </w:rPr>
        <w:t>STEML</w:t>
      </w:r>
      <w:r w:rsidRPr="00D77CB4">
        <w:rPr>
          <w:rFonts w:ascii="Arial" w:hAnsi="Arial" w:cs="Arial"/>
          <w:b/>
          <w:sz w:val="26"/>
          <w:szCs w:val="26"/>
        </w:rPr>
        <w:t xml:space="preserve">İ </w:t>
      </w:r>
      <w:r w:rsidRPr="00D77CB4">
        <w:rPr>
          <w:rFonts w:ascii="Arial" w:hAnsi="Arial" w:cs="Arial"/>
          <w:b/>
          <w:bCs/>
          <w:sz w:val="26"/>
          <w:szCs w:val="26"/>
        </w:rPr>
        <w:t>YAKIT / PETROL ÜRÜNÜ AYIRICI,</w:t>
      </w:r>
      <w:r w:rsidR="00D77CB4">
        <w:rPr>
          <w:rFonts w:ascii="Arial" w:hAnsi="Arial" w:cs="Arial"/>
          <w:b/>
          <w:bCs/>
          <w:sz w:val="26"/>
          <w:szCs w:val="26"/>
        </w:rPr>
        <w:t xml:space="preserve"> </w:t>
      </w:r>
      <w:r w:rsidRPr="00D77CB4">
        <w:rPr>
          <w:rFonts w:ascii="Arial" w:hAnsi="Arial" w:cs="Arial"/>
          <w:b/>
          <w:bCs/>
          <w:sz w:val="26"/>
          <w:szCs w:val="26"/>
        </w:rPr>
        <w:t>ZEM</w:t>
      </w:r>
      <w:r w:rsidRPr="00D77CB4">
        <w:rPr>
          <w:rFonts w:ascii="Arial" w:hAnsi="Arial" w:cs="Arial"/>
          <w:b/>
          <w:sz w:val="26"/>
          <w:szCs w:val="26"/>
        </w:rPr>
        <w:t>İ</w:t>
      </w:r>
      <w:r w:rsidRPr="00D77CB4">
        <w:rPr>
          <w:rFonts w:ascii="Arial" w:hAnsi="Arial" w:cs="Arial"/>
          <w:b/>
          <w:bCs/>
          <w:sz w:val="26"/>
          <w:szCs w:val="26"/>
        </w:rPr>
        <w:t>NE GÖMME MONTELİ</w:t>
      </w:r>
    </w:p>
    <w:p w:rsidR="00D77CB4" w:rsidRPr="00DE62EA" w:rsidRDefault="00DE62EA" w:rsidP="00F83B98">
      <w:pPr>
        <w:jc w:val="center"/>
        <w:rPr>
          <w:rFonts w:ascii="Arial" w:hAnsi="Arial" w:cs="Arial"/>
          <w:b/>
          <w:bCs/>
          <w:iCs/>
          <w:sz w:val="26"/>
          <w:szCs w:val="26"/>
        </w:rPr>
      </w:pPr>
      <w:r w:rsidRPr="00DE62EA">
        <w:rPr>
          <w:rFonts w:ascii="Arial" w:hAnsi="Arial" w:cs="Arial"/>
          <w:b/>
          <w:bCs/>
          <w:iCs/>
          <w:sz w:val="26"/>
          <w:szCs w:val="26"/>
        </w:rPr>
        <w:t xml:space="preserve">( </w:t>
      </w:r>
      <w:proofErr w:type="spellStart"/>
      <w:r w:rsidRPr="00DE62EA">
        <w:rPr>
          <w:rFonts w:ascii="Arial" w:hAnsi="Arial" w:cs="Arial"/>
          <w:b/>
          <w:bCs/>
          <w:iCs/>
          <w:sz w:val="26"/>
          <w:szCs w:val="26"/>
        </w:rPr>
        <w:t>Coalescence</w:t>
      </w:r>
      <w:proofErr w:type="spellEnd"/>
      <w:r w:rsidRPr="00DE62EA">
        <w:rPr>
          <w:rFonts w:ascii="Arial" w:hAnsi="Arial" w:cs="Arial"/>
          <w:b/>
          <w:bCs/>
          <w:iCs/>
          <w:sz w:val="26"/>
          <w:szCs w:val="26"/>
        </w:rPr>
        <w:t xml:space="preserve"> </w:t>
      </w:r>
      <w:proofErr w:type="spellStart"/>
      <w:r w:rsidRPr="00DE62EA">
        <w:rPr>
          <w:rFonts w:ascii="Arial" w:hAnsi="Arial" w:cs="Arial"/>
          <w:b/>
          <w:bCs/>
          <w:iCs/>
          <w:sz w:val="26"/>
          <w:szCs w:val="26"/>
        </w:rPr>
        <w:t>Seperator</w:t>
      </w:r>
      <w:proofErr w:type="spellEnd"/>
      <w:r w:rsidRPr="00DE62EA">
        <w:rPr>
          <w:rFonts w:ascii="Arial" w:hAnsi="Arial" w:cs="Arial"/>
          <w:b/>
          <w:bCs/>
          <w:iCs/>
          <w:sz w:val="26"/>
          <w:szCs w:val="26"/>
        </w:rPr>
        <w:t xml:space="preserve"> NS3-NS15)</w:t>
      </w:r>
    </w:p>
    <w:p w:rsidR="00F2596C" w:rsidRPr="00F2596C" w:rsidRDefault="00F2596C" w:rsidP="00400319">
      <w:pPr>
        <w:autoSpaceDE w:val="0"/>
        <w:autoSpaceDN w:val="0"/>
        <w:adjustRightInd w:val="0"/>
        <w:spacing w:after="0" w:line="240" w:lineRule="auto"/>
        <w:rPr>
          <w:rFonts w:ascii="Arial" w:hAnsi="Arial" w:cs="Arial"/>
        </w:rPr>
      </w:pPr>
      <w:r w:rsidRPr="00F2596C">
        <w:rPr>
          <w:rFonts w:ascii="Arial" w:hAnsi="Arial" w:cs="Arial"/>
        </w:rPr>
        <w:t xml:space="preserve">Avrupa Normu </w:t>
      </w:r>
      <w:proofErr w:type="spellStart"/>
      <w:r w:rsidRPr="00F2596C">
        <w:rPr>
          <w:rFonts w:ascii="Arial" w:hAnsi="Arial" w:cs="Arial"/>
        </w:rPr>
        <w:t>prEN</w:t>
      </w:r>
      <w:proofErr w:type="spellEnd"/>
      <w:r w:rsidRPr="00F2596C">
        <w:rPr>
          <w:rFonts w:ascii="Arial" w:hAnsi="Arial" w:cs="Arial"/>
        </w:rPr>
        <w:t xml:space="preserve"> 858'e uygun, zemine gömme monteli, </w:t>
      </w:r>
      <w:proofErr w:type="gramStart"/>
      <w:r w:rsidRPr="00F2596C">
        <w:rPr>
          <w:rFonts w:ascii="Arial" w:hAnsi="Arial" w:cs="Arial"/>
        </w:rPr>
        <w:t>dahili</w:t>
      </w:r>
      <w:proofErr w:type="gramEnd"/>
      <w:r w:rsidRPr="00F2596C">
        <w:rPr>
          <w:rFonts w:ascii="Arial" w:hAnsi="Arial" w:cs="Arial"/>
        </w:rPr>
        <w:t xml:space="preserve"> tortu tutuculu ve yakıt/petrol ürünü tasmaya karsı otomatik çıkış kapatma sistemli, 0.85-0.95g/cm3 arası yoğunluktaki sıvılar için kalibre edilmiş, +/-5° eğim ve belirtilen aralıkta yükseklik ayarlı üst kısımlı, kaldırma anahtarlı pik döküm malzemeden EN124 normuna göre B sınıfında 12,5 ton, D sınıfında 40 ton yüke dayanıklı </w:t>
      </w:r>
      <w:proofErr w:type="spellStart"/>
      <w:r w:rsidRPr="00F2596C">
        <w:rPr>
          <w:rFonts w:ascii="Arial" w:hAnsi="Arial" w:cs="Arial"/>
        </w:rPr>
        <w:t>menhol</w:t>
      </w:r>
      <w:proofErr w:type="spellEnd"/>
      <w:r w:rsidRPr="00F2596C">
        <w:rPr>
          <w:rFonts w:ascii="Arial" w:hAnsi="Arial" w:cs="Arial"/>
        </w:rPr>
        <w:t xml:space="preserve"> kapaklı, çelik destekli beton zeminde yolcu aracı yükü altında 700-1800 mm ve tır-kamyon-treyler yükü altında 700 – 1500 mm giriş ağzı derinliğinde test edilmiş, mukavemet testlerinden geçirilmiş, giriş ve çıkısı DIN 19560'a göre Polietilen pis su borularına bağlantıya uygun, belirtilen debi, tortu ve ayırıcı kapasitelerinde polietilen petrol ve tortu ayırıcı.</w:t>
      </w:r>
    </w:p>
    <w:tbl>
      <w:tblPr>
        <w:tblW w:w="10126" w:type="dxa"/>
        <w:tblInd w:w="-15" w:type="dxa"/>
        <w:tblCellMar>
          <w:left w:w="0" w:type="dxa"/>
          <w:right w:w="0" w:type="dxa"/>
        </w:tblCellMar>
        <w:tblLook w:val="04A0" w:firstRow="1" w:lastRow="0" w:firstColumn="1" w:lastColumn="0" w:noHBand="0" w:noVBand="1"/>
      </w:tblPr>
      <w:tblGrid>
        <w:gridCol w:w="10120"/>
        <w:gridCol w:w="6"/>
      </w:tblGrid>
      <w:tr w:rsidR="00F2596C" w:rsidTr="00D77CB4">
        <w:trPr>
          <w:trHeight w:val="276"/>
        </w:trPr>
        <w:tc>
          <w:tcPr>
            <w:tcW w:w="0" w:type="auto"/>
            <w:vMerge w:val="restart"/>
            <w:vAlign w:val="center"/>
            <w:hideMark/>
          </w:tcPr>
          <w:p w:rsidR="00F83B98" w:rsidRDefault="00F83B98" w:rsidP="00F83B98">
            <w:pPr>
              <w:autoSpaceDE w:val="0"/>
              <w:autoSpaceDN w:val="0"/>
              <w:adjustRightInd w:val="0"/>
              <w:spacing w:after="0" w:line="240" w:lineRule="auto"/>
              <w:jc w:val="center"/>
              <w:rPr>
                <w:rFonts w:ascii="Arial" w:hAnsi="Arial" w:cs="Arial"/>
                <w:b/>
                <w:bCs/>
                <w:sz w:val="26"/>
                <w:szCs w:val="26"/>
              </w:rPr>
            </w:pPr>
          </w:p>
          <w:p w:rsidR="00F83B98" w:rsidRDefault="00F83B98" w:rsidP="00F83B98">
            <w:pPr>
              <w:autoSpaceDE w:val="0"/>
              <w:autoSpaceDN w:val="0"/>
              <w:adjustRightInd w:val="0"/>
              <w:spacing w:after="0" w:line="240" w:lineRule="auto"/>
              <w:jc w:val="center"/>
              <w:rPr>
                <w:rFonts w:ascii="Arial" w:hAnsi="Arial" w:cs="Arial"/>
                <w:b/>
                <w:bCs/>
                <w:sz w:val="26"/>
                <w:szCs w:val="26"/>
              </w:rPr>
            </w:pPr>
          </w:p>
          <w:p w:rsidR="00F83B98" w:rsidRDefault="00F83B98" w:rsidP="00F83B98">
            <w:pPr>
              <w:autoSpaceDE w:val="0"/>
              <w:autoSpaceDN w:val="0"/>
              <w:adjustRightInd w:val="0"/>
              <w:spacing w:after="0" w:line="240" w:lineRule="auto"/>
              <w:jc w:val="center"/>
              <w:rPr>
                <w:rFonts w:ascii="Arial" w:hAnsi="Arial" w:cs="Arial"/>
                <w:b/>
                <w:bCs/>
                <w:sz w:val="26"/>
                <w:szCs w:val="26"/>
              </w:rPr>
            </w:pPr>
          </w:p>
          <w:p w:rsidR="00F83B98" w:rsidRDefault="00F83B98" w:rsidP="00F83B98">
            <w:pPr>
              <w:autoSpaceDE w:val="0"/>
              <w:autoSpaceDN w:val="0"/>
              <w:adjustRightInd w:val="0"/>
              <w:spacing w:after="0" w:line="240" w:lineRule="auto"/>
              <w:jc w:val="center"/>
              <w:rPr>
                <w:rFonts w:ascii="Arial" w:hAnsi="Arial" w:cs="Arial"/>
                <w:b/>
                <w:bCs/>
                <w:sz w:val="26"/>
                <w:szCs w:val="26"/>
              </w:rPr>
            </w:pPr>
          </w:p>
          <w:p w:rsidR="00F83B98" w:rsidRDefault="00F83B98" w:rsidP="00F83B98">
            <w:pPr>
              <w:autoSpaceDE w:val="0"/>
              <w:autoSpaceDN w:val="0"/>
              <w:adjustRightInd w:val="0"/>
              <w:spacing w:after="0" w:line="240" w:lineRule="auto"/>
              <w:jc w:val="center"/>
              <w:rPr>
                <w:rFonts w:ascii="Arial" w:hAnsi="Arial" w:cs="Arial"/>
                <w:b/>
                <w:bCs/>
                <w:sz w:val="26"/>
                <w:szCs w:val="26"/>
              </w:rPr>
            </w:pPr>
          </w:p>
          <w:p w:rsidR="00F83B98" w:rsidRDefault="00F83B98" w:rsidP="00F83B98">
            <w:pPr>
              <w:autoSpaceDE w:val="0"/>
              <w:autoSpaceDN w:val="0"/>
              <w:adjustRightInd w:val="0"/>
              <w:spacing w:after="0" w:line="240" w:lineRule="auto"/>
              <w:jc w:val="center"/>
              <w:rPr>
                <w:rFonts w:ascii="Arial" w:hAnsi="Arial" w:cs="Arial"/>
                <w:b/>
                <w:bCs/>
                <w:sz w:val="26"/>
                <w:szCs w:val="26"/>
              </w:rPr>
            </w:pPr>
          </w:p>
          <w:p w:rsidR="00F83B98" w:rsidRDefault="00F83B98" w:rsidP="00F83B98">
            <w:pPr>
              <w:autoSpaceDE w:val="0"/>
              <w:autoSpaceDN w:val="0"/>
              <w:adjustRightInd w:val="0"/>
              <w:spacing w:after="0" w:line="240" w:lineRule="auto"/>
              <w:jc w:val="center"/>
              <w:rPr>
                <w:rFonts w:ascii="Arial" w:hAnsi="Arial" w:cs="Arial"/>
                <w:b/>
                <w:bCs/>
                <w:sz w:val="26"/>
                <w:szCs w:val="26"/>
              </w:rPr>
            </w:pPr>
          </w:p>
          <w:p w:rsidR="00F83B98" w:rsidRDefault="00F83B98" w:rsidP="00F83B98">
            <w:pPr>
              <w:autoSpaceDE w:val="0"/>
              <w:autoSpaceDN w:val="0"/>
              <w:adjustRightInd w:val="0"/>
              <w:spacing w:after="0" w:line="240" w:lineRule="auto"/>
              <w:jc w:val="center"/>
              <w:rPr>
                <w:rFonts w:ascii="Arial" w:hAnsi="Arial" w:cs="Arial"/>
                <w:b/>
                <w:bCs/>
                <w:sz w:val="26"/>
                <w:szCs w:val="26"/>
              </w:rPr>
            </w:pPr>
          </w:p>
          <w:p w:rsidR="00F83B98" w:rsidRDefault="00F83B98" w:rsidP="00F83B98">
            <w:pPr>
              <w:autoSpaceDE w:val="0"/>
              <w:autoSpaceDN w:val="0"/>
              <w:adjustRightInd w:val="0"/>
              <w:spacing w:after="0" w:line="240" w:lineRule="auto"/>
              <w:jc w:val="center"/>
              <w:rPr>
                <w:rFonts w:ascii="Arial" w:hAnsi="Arial" w:cs="Arial"/>
                <w:b/>
                <w:bCs/>
                <w:sz w:val="26"/>
                <w:szCs w:val="26"/>
              </w:rPr>
            </w:pPr>
          </w:p>
          <w:p w:rsidR="00F83B98" w:rsidRDefault="00F83B98" w:rsidP="00F83B98">
            <w:pPr>
              <w:autoSpaceDE w:val="0"/>
              <w:autoSpaceDN w:val="0"/>
              <w:adjustRightInd w:val="0"/>
              <w:spacing w:after="0" w:line="240" w:lineRule="auto"/>
              <w:jc w:val="center"/>
              <w:rPr>
                <w:rFonts w:ascii="Arial" w:hAnsi="Arial" w:cs="Arial"/>
                <w:b/>
                <w:bCs/>
                <w:sz w:val="26"/>
                <w:szCs w:val="26"/>
              </w:rPr>
            </w:pPr>
          </w:p>
          <w:p w:rsidR="00F83B98" w:rsidRDefault="00F83B98" w:rsidP="00F83B98">
            <w:pPr>
              <w:autoSpaceDE w:val="0"/>
              <w:autoSpaceDN w:val="0"/>
              <w:adjustRightInd w:val="0"/>
              <w:spacing w:after="0" w:line="240" w:lineRule="auto"/>
              <w:jc w:val="center"/>
              <w:rPr>
                <w:rFonts w:ascii="Arial" w:hAnsi="Arial" w:cs="Arial"/>
                <w:b/>
                <w:bCs/>
                <w:sz w:val="26"/>
                <w:szCs w:val="26"/>
              </w:rPr>
            </w:pPr>
          </w:p>
          <w:p w:rsidR="00F83B98" w:rsidRDefault="00F83B98" w:rsidP="00F83B98">
            <w:pPr>
              <w:autoSpaceDE w:val="0"/>
              <w:autoSpaceDN w:val="0"/>
              <w:adjustRightInd w:val="0"/>
              <w:spacing w:after="0" w:line="240" w:lineRule="auto"/>
              <w:jc w:val="center"/>
              <w:rPr>
                <w:rFonts w:ascii="Arial" w:hAnsi="Arial" w:cs="Arial"/>
                <w:b/>
                <w:bCs/>
                <w:sz w:val="26"/>
                <w:szCs w:val="26"/>
              </w:rPr>
            </w:pPr>
          </w:p>
          <w:p w:rsidR="00F83B98" w:rsidRDefault="00F83B98" w:rsidP="00F83B98">
            <w:pPr>
              <w:autoSpaceDE w:val="0"/>
              <w:autoSpaceDN w:val="0"/>
              <w:adjustRightInd w:val="0"/>
              <w:spacing w:after="0" w:line="240" w:lineRule="auto"/>
              <w:jc w:val="center"/>
              <w:rPr>
                <w:rFonts w:ascii="Arial" w:hAnsi="Arial" w:cs="Arial"/>
                <w:b/>
                <w:bCs/>
                <w:sz w:val="26"/>
                <w:szCs w:val="26"/>
              </w:rPr>
            </w:pPr>
          </w:p>
          <w:p w:rsidR="00F83B98" w:rsidRDefault="00F83B98" w:rsidP="00F83B98">
            <w:pPr>
              <w:autoSpaceDE w:val="0"/>
              <w:autoSpaceDN w:val="0"/>
              <w:adjustRightInd w:val="0"/>
              <w:spacing w:after="0" w:line="240" w:lineRule="auto"/>
              <w:jc w:val="center"/>
              <w:rPr>
                <w:rFonts w:ascii="Arial" w:hAnsi="Arial" w:cs="Arial"/>
                <w:b/>
                <w:bCs/>
                <w:sz w:val="26"/>
                <w:szCs w:val="26"/>
              </w:rPr>
            </w:pPr>
          </w:p>
          <w:p w:rsidR="00F83B98" w:rsidRDefault="00F83B98" w:rsidP="00F83B98">
            <w:pPr>
              <w:autoSpaceDE w:val="0"/>
              <w:autoSpaceDN w:val="0"/>
              <w:adjustRightInd w:val="0"/>
              <w:spacing w:after="0" w:line="240" w:lineRule="auto"/>
              <w:jc w:val="center"/>
              <w:rPr>
                <w:rFonts w:ascii="Arial" w:hAnsi="Arial" w:cs="Arial"/>
                <w:b/>
                <w:bCs/>
                <w:sz w:val="26"/>
                <w:szCs w:val="26"/>
              </w:rPr>
            </w:pPr>
          </w:p>
          <w:p w:rsidR="00F83B98" w:rsidRPr="00F83B98" w:rsidRDefault="00F83B98" w:rsidP="00F83B98">
            <w:pPr>
              <w:autoSpaceDE w:val="0"/>
              <w:autoSpaceDN w:val="0"/>
              <w:adjustRightInd w:val="0"/>
              <w:spacing w:after="0" w:line="240" w:lineRule="auto"/>
              <w:jc w:val="center"/>
              <w:rPr>
                <w:rFonts w:ascii="Arial" w:hAnsi="Arial" w:cs="Arial"/>
                <w:b/>
                <w:bCs/>
                <w:sz w:val="26"/>
                <w:szCs w:val="26"/>
              </w:rPr>
            </w:pPr>
            <w:r w:rsidRPr="00F83B98">
              <w:rPr>
                <w:rFonts w:ascii="Arial" w:hAnsi="Arial" w:cs="Arial"/>
                <w:b/>
                <w:bCs/>
                <w:sz w:val="26"/>
                <w:szCs w:val="26"/>
              </w:rPr>
              <w:lastRenderedPageBreak/>
              <w:t>YAKIT / PETROL ÜRÜNÜ AYIRICI,  ZEM</w:t>
            </w:r>
            <w:r w:rsidRPr="00F83B98">
              <w:rPr>
                <w:rFonts w:ascii="Arial" w:hAnsi="Arial" w:cs="Arial"/>
                <w:b/>
                <w:sz w:val="26"/>
                <w:szCs w:val="26"/>
              </w:rPr>
              <w:t>İ</w:t>
            </w:r>
            <w:r w:rsidRPr="00F83B98">
              <w:rPr>
                <w:rFonts w:ascii="Arial" w:hAnsi="Arial" w:cs="Arial"/>
                <w:b/>
                <w:bCs/>
                <w:sz w:val="26"/>
                <w:szCs w:val="26"/>
              </w:rPr>
              <w:t>NE GÖMME MONTEL</w:t>
            </w:r>
            <w:r w:rsidRPr="00F83B98">
              <w:rPr>
                <w:rFonts w:ascii="Arial" w:hAnsi="Arial" w:cs="Arial"/>
                <w:b/>
                <w:sz w:val="26"/>
                <w:szCs w:val="26"/>
              </w:rPr>
              <w:t>İ</w:t>
            </w:r>
          </w:p>
          <w:p w:rsidR="00F83B98" w:rsidRPr="00D77CB4" w:rsidRDefault="00F83B98" w:rsidP="00F83B98">
            <w:pPr>
              <w:pStyle w:val="ListeParagraf"/>
              <w:autoSpaceDE w:val="0"/>
              <w:autoSpaceDN w:val="0"/>
              <w:adjustRightInd w:val="0"/>
              <w:spacing w:after="0" w:line="240" w:lineRule="auto"/>
              <w:jc w:val="center"/>
              <w:rPr>
                <w:rFonts w:ascii="Arial" w:hAnsi="Arial" w:cs="Arial"/>
                <w:b/>
                <w:bCs/>
                <w:sz w:val="26"/>
                <w:szCs w:val="26"/>
              </w:rPr>
            </w:pPr>
            <w:r>
              <w:rPr>
                <w:rFonts w:ascii="Arial" w:hAnsi="Arial" w:cs="Arial"/>
                <w:b/>
                <w:sz w:val="26"/>
                <w:szCs w:val="26"/>
              </w:rPr>
              <w:t>(</w:t>
            </w:r>
            <w:r>
              <w:rPr>
                <w:rFonts w:ascii="Arial" w:hAnsi="Arial" w:cs="Arial"/>
                <w:b/>
                <w:sz w:val="26"/>
                <w:szCs w:val="26"/>
              </w:rPr>
              <w:t xml:space="preserve">NG 1,5 </w:t>
            </w:r>
            <w:r>
              <w:rPr>
                <w:rFonts w:ascii="Arial" w:hAnsi="Arial" w:cs="Arial"/>
                <w:b/>
                <w:sz w:val="26"/>
                <w:szCs w:val="26"/>
              </w:rPr>
              <w:t>)</w:t>
            </w:r>
          </w:p>
          <w:p w:rsidR="00F2596C" w:rsidRDefault="00F2596C" w:rsidP="00400319">
            <w:pPr>
              <w:rPr>
                <w:rFonts w:ascii="Arial" w:hAnsi="Arial" w:cs="Arial"/>
                <w:color w:val="000000"/>
                <w:sz w:val="24"/>
                <w:szCs w:val="24"/>
                <w:lang w:eastAsia="tr-TR"/>
              </w:rPr>
            </w:pPr>
          </w:p>
          <w:p w:rsidR="00F83B98" w:rsidRDefault="00F83B98" w:rsidP="00400319">
            <w:pPr>
              <w:rPr>
                <w:rFonts w:ascii="Arial" w:hAnsi="Arial" w:cs="Arial"/>
                <w:color w:val="000000"/>
                <w:sz w:val="24"/>
                <w:szCs w:val="24"/>
                <w:lang w:eastAsia="tr-TR"/>
              </w:rPr>
            </w:pPr>
          </w:p>
          <w:p w:rsidR="00F83B98" w:rsidRDefault="00F83B98" w:rsidP="00400319">
            <w:pPr>
              <w:rPr>
                <w:rFonts w:ascii="Arial" w:hAnsi="Arial" w:cs="Arial"/>
                <w:color w:val="000000"/>
                <w:sz w:val="24"/>
                <w:szCs w:val="24"/>
                <w:lang w:eastAsia="tr-TR"/>
              </w:rPr>
            </w:pPr>
            <w:r>
              <w:rPr>
                <w:rFonts w:ascii="Arial" w:hAnsi="Arial" w:cs="Arial"/>
                <w:color w:val="000000"/>
                <w:sz w:val="24"/>
                <w:szCs w:val="24"/>
                <w:lang w:eastAsia="tr-TR"/>
              </w:rPr>
              <w:t xml:space="preserve">Zemine gömme montaja uygun, </w:t>
            </w:r>
            <w:proofErr w:type="gramStart"/>
            <w:r>
              <w:rPr>
                <w:rFonts w:ascii="Arial" w:hAnsi="Arial" w:cs="Arial"/>
                <w:color w:val="000000"/>
                <w:sz w:val="24"/>
                <w:szCs w:val="24"/>
                <w:lang w:eastAsia="tr-TR"/>
              </w:rPr>
              <w:t>dahili</w:t>
            </w:r>
            <w:proofErr w:type="gramEnd"/>
            <w:r>
              <w:rPr>
                <w:rFonts w:ascii="Arial" w:hAnsi="Arial" w:cs="Arial"/>
                <w:color w:val="000000"/>
                <w:sz w:val="24"/>
                <w:szCs w:val="24"/>
                <w:lang w:eastAsia="tr-TR"/>
              </w:rPr>
              <w:t xml:space="preserve"> küçük tortu tutuculu ve otomatik kapanma mekanizmalı, 0,85-0,95 g/cm3 yoğunluklu hafif sıvıları ayırmak için petrol ayırıcı. DIN 13564’e uygun </w:t>
            </w:r>
            <w:proofErr w:type="spellStart"/>
            <w:r>
              <w:rPr>
                <w:rFonts w:ascii="Arial" w:hAnsi="Arial" w:cs="Arial"/>
                <w:color w:val="000000"/>
                <w:sz w:val="24"/>
                <w:szCs w:val="24"/>
                <w:lang w:eastAsia="tr-TR"/>
              </w:rPr>
              <w:t>opsiyonel</w:t>
            </w:r>
            <w:proofErr w:type="spellEnd"/>
            <w:r>
              <w:rPr>
                <w:rFonts w:ascii="Arial" w:hAnsi="Arial" w:cs="Arial"/>
                <w:color w:val="000000"/>
                <w:sz w:val="24"/>
                <w:szCs w:val="24"/>
                <w:lang w:eastAsia="tr-TR"/>
              </w:rPr>
              <w:t xml:space="preserve"> geri akış vanalı. </w:t>
            </w:r>
          </w:p>
          <w:p w:rsidR="00F83B98" w:rsidRDefault="00F83B98" w:rsidP="00400319">
            <w:pPr>
              <w:rPr>
                <w:rFonts w:ascii="Arial" w:hAnsi="Arial" w:cs="Arial"/>
                <w:color w:val="000000"/>
                <w:sz w:val="24"/>
                <w:szCs w:val="24"/>
                <w:lang w:eastAsia="tr-TR"/>
              </w:rPr>
            </w:pPr>
            <w:r>
              <w:rPr>
                <w:rFonts w:ascii="Arial" w:hAnsi="Arial" w:cs="Arial"/>
                <w:color w:val="000000"/>
                <w:sz w:val="24"/>
                <w:szCs w:val="24"/>
                <w:lang w:eastAsia="tr-TR"/>
              </w:rPr>
              <w:t xml:space="preserve">Bütün parçaları plastikten </w:t>
            </w:r>
            <w:proofErr w:type="spellStart"/>
            <w:proofErr w:type="gramStart"/>
            <w:r w:rsidR="002A07F9">
              <w:rPr>
                <w:rFonts w:ascii="Arial" w:hAnsi="Arial" w:cs="Arial"/>
                <w:color w:val="000000"/>
                <w:sz w:val="24"/>
                <w:szCs w:val="24"/>
                <w:lang w:eastAsia="tr-TR"/>
              </w:rPr>
              <w:t>mamul,seviye</w:t>
            </w:r>
            <w:proofErr w:type="spellEnd"/>
            <w:proofErr w:type="gramEnd"/>
            <w:r w:rsidR="002A07F9">
              <w:rPr>
                <w:rFonts w:ascii="Arial" w:hAnsi="Arial" w:cs="Arial"/>
                <w:color w:val="000000"/>
                <w:sz w:val="24"/>
                <w:szCs w:val="24"/>
                <w:lang w:eastAsia="tr-TR"/>
              </w:rPr>
              <w:t xml:space="preserve"> ayarlı, A/B yük sınıfına uygun kapaklı, DN100 giriş ve çıkışlı</w:t>
            </w:r>
            <w:r w:rsidR="00071F4A">
              <w:rPr>
                <w:rFonts w:ascii="Arial" w:hAnsi="Arial" w:cs="Arial"/>
                <w:color w:val="000000"/>
                <w:sz w:val="24"/>
                <w:szCs w:val="24"/>
                <w:lang w:eastAsia="tr-TR"/>
              </w:rPr>
              <w:t xml:space="preserve"> plastik </w:t>
            </w:r>
            <w:r w:rsidR="007C12E3">
              <w:rPr>
                <w:rFonts w:ascii="Arial" w:hAnsi="Arial" w:cs="Arial"/>
                <w:color w:val="000000"/>
                <w:sz w:val="24"/>
                <w:szCs w:val="24"/>
                <w:lang w:eastAsia="tr-TR"/>
              </w:rPr>
              <w:t>boru bağlantısına uygun: PE-HP (DIN 19537’ e göre ); PVC kg (DIN V 19534’e göre); PP veya AS.</w:t>
            </w:r>
          </w:p>
          <w:p w:rsidR="007C12E3" w:rsidRDefault="007C12E3" w:rsidP="00400319">
            <w:pPr>
              <w:rPr>
                <w:rFonts w:ascii="Arial" w:hAnsi="Arial" w:cs="Arial"/>
                <w:color w:val="000000"/>
                <w:sz w:val="24"/>
                <w:szCs w:val="24"/>
                <w:lang w:eastAsia="tr-TR"/>
              </w:rPr>
            </w:pPr>
          </w:p>
          <w:p w:rsidR="007C12E3" w:rsidRPr="007C12E3" w:rsidRDefault="007C12E3" w:rsidP="007C12E3">
            <w:pPr>
              <w:jc w:val="center"/>
              <w:rPr>
                <w:rFonts w:ascii="Arial" w:hAnsi="Arial" w:cs="Arial"/>
                <w:b/>
                <w:color w:val="000000"/>
                <w:sz w:val="24"/>
                <w:szCs w:val="24"/>
                <w:lang w:eastAsia="tr-TR"/>
              </w:rPr>
            </w:pPr>
            <w:r w:rsidRPr="007C12E3">
              <w:rPr>
                <w:rFonts w:ascii="Arial" w:hAnsi="Arial" w:cs="Arial"/>
                <w:b/>
                <w:color w:val="000000"/>
                <w:sz w:val="24"/>
                <w:szCs w:val="24"/>
                <w:lang w:eastAsia="tr-TR"/>
              </w:rPr>
              <w:t>POLİETİLEN KONTROL RÖGARI,400 MM ÇAPLI</w:t>
            </w:r>
          </w:p>
        </w:tc>
        <w:tc>
          <w:tcPr>
            <w:tcW w:w="6" w:type="dxa"/>
            <w:tcBorders>
              <w:top w:val="nil"/>
              <w:left w:val="nil"/>
              <w:bottom w:val="nil"/>
              <w:right w:val="nil"/>
            </w:tcBorders>
            <w:vAlign w:val="center"/>
            <w:hideMark/>
          </w:tcPr>
          <w:p w:rsidR="00F2596C" w:rsidRDefault="00F2596C" w:rsidP="00400319">
            <w:pPr>
              <w:rPr>
                <w:rFonts w:ascii="Times New Roman" w:eastAsia="Times New Roman" w:hAnsi="Times New Roman"/>
                <w:sz w:val="20"/>
                <w:szCs w:val="20"/>
                <w:lang w:eastAsia="tr-TR"/>
              </w:rPr>
            </w:pPr>
          </w:p>
        </w:tc>
      </w:tr>
      <w:tr w:rsidR="00F2596C" w:rsidTr="00D77CB4">
        <w:trPr>
          <w:trHeight w:val="276"/>
        </w:trPr>
        <w:tc>
          <w:tcPr>
            <w:tcW w:w="0" w:type="auto"/>
            <w:vMerge/>
            <w:vAlign w:val="center"/>
            <w:hideMark/>
          </w:tcPr>
          <w:p w:rsidR="00F2596C" w:rsidRDefault="00F2596C" w:rsidP="00DE62EA">
            <w:pPr>
              <w:jc w:val="center"/>
              <w:rPr>
                <w:rFonts w:ascii="Arial" w:hAnsi="Arial" w:cs="Arial"/>
                <w:color w:val="000000"/>
                <w:sz w:val="24"/>
                <w:szCs w:val="24"/>
                <w:lang w:eastAsia="tr-TR"/>
              </w:rPr>
            </w:pPr>
          </w:p>
        </w:tc>
        <w:tc>
          <w:tcPr>
            <w:tcW w:w="6" w:type="dxa"/>
            <w:tcBorders>
              <w:top w:val="nil"/>
              <w:left w:val="nil"/>
              <w:bottom w:val="nil"/>
              <w:right w:val="nil"/>
            </w:tcBorders>
            <w:vAlign w:val="center"/>
            <w:hideMark/>
          </w:tcPr>
          <w:p w:rsidR="00F2596C" w:rsidRDefault="00F2596C" w:rsidP="00DE62EA">
            <w:pPr>
              <w:jc w:val="center"/>
              <w:rPr>
                <w:rFonts w:ascii="Times New Roman" w:eastAsia="Times New Roman" w:hAnsi="Times New Roman"/>
                <w:sz w:val="20"/>
                <w:szCs w:val="20"/>
                <w:lang w:eastAsia="tr-TR"/>
              </w:rPr>
            </w:pPr>
          </w:p>
        </w:tc>
      </w:tr>
      <w:tr w:rsidR="00F2596C" w:rsidTr="00D77CB4">
        <w:trPr>
          <w:trHeight w:val="276"/>
        </w:trPr>
        <w:tc>
          <w:tcPr>
            <w:tcW w:w="0" w:type="auto"/>
            <w:vMerge/>
            <w:vAlign w:val="center"/>
            <w:hideMark/>
          </w:tcPr>
          <w:p w:rsidR="00F2596C" w:rsidRDefault="00F2596C" w:rsidP="00DE62EA">
            <w:pPr>
              <w:jc w:val="center"/>
              <w:rPr>
                <w:rFonts w:ascii="Arial" w:hAnsi="Arial" w:cs="Arial"/>
                <w:color w:val="000000"/>
                <w:sz w:val="24"/>
                <w:szCs w:val="24"/>
                <w:lang w:eastAsia="tr-TR"/>
              </w:rPr>
            </w:pPr>
          </w:p>
        </w:tc>
        <w:tc>
          <w:tcPr>
            <w:tcW w:w="6" w:type="dxa"/>
            <w:tcBorders>
              <w:top w:val="nil"/>
              <w:left w:val="nil"/>
              <w:bottom w:val="nil"/>
              <w:right w:val="nil"/>
            </w:tcBorders>
            <w:vAlign w:val="center"/>
            <w:hideMark/>
          </w:tcPr>
          <w:p w:rsidR="00F2596C" w:rsidRDefault="00F2596C" w:rsidP="00DE62EA">
            <w:pPr>
              <w:jc w:val="center"/>
              <w:rPr>
                <w:rFonts w:ascii="Times New Roman" w:eastAsia="Times New Roman" w:hAnsi="Times New Roman"/>
                <w:sz w:val="20"/>
                <w:szCs w:val="20"/>
                <w:lang w:eastAsia="tr-TR"/>
              </w:rPr>
            </w:pPr>
          </w:p>
        </w:tc>
      </w:tr>
      <w:tr w:rsidR="00F2596C" w:rsidTr="00D77CB4">
        <w:trPr>
          <w:trHeight w:val="276"/>
        </w:trPr>
        <w:tc>
          <w:tcPr>
            <w:tcW w:w="0" w:type="auto"/>
            <w:vMerge/>
            <w:vAlign w:val="center"/>
            <w:hideMark/>
          </w:tcPr>
          <w:p w:rsidR="00F2596C" w:rsidRDefault="00F2596C" w:rsidP="00DE62EA">
            <w:pPr>
              <w:jc w:val="center"/>
              <w:rPr>
                <w:rFonts w:ascii="Arial" w:hAnsi="Arial" w:cs="Arial"/>
                <w:color w:val="000000"/>
                <w:sz w:val="24"/>
                <w:szCs w:val="24"/>
                <w:lang w:eastAsia="tr-TR"/>
              </w:rPr>
            </w:pPr>
          </w:p>
        </w:tc>
        <w:tc>
          <w:tcPr>
            <w:tcW w:w="6" w:type="dxa"/>
            <w:tcBorders>
              <w:top w:val="nil"/>
              <w:left w:val="nil"/>
              <w:bottom w:val="nil"/>
              <w:right w:val="nil"/>
            </w:tcBorders>
            <w:vAlign w:val="center"/>
            <w:hideMark/>
          </w:tcPr>
          <w:p w:rsidR="00F2596C" w:rsidRDefault="00F2596C" w:rsidP="00DE62EA">
            <w:pPr>
              <w:jc w:val="center"/>
              <w:rPr>
                <w:rFonts w:ascii="Times New Roman" w:eastAsia="Times New Roman" w:hAnsi="Times New Roman"/>
                <w:sz w:val="20"/>
                <w:szCs w:val="20"/>
                <w:lang w:eastAsia="tr-TR"/>
              </w:rPr>
            </w:pPr>
          </w:p>
        </w:tc>
      </w:tr>
      <w:tr w:rsidR="00F2596C" w:rsidTr="00D77CB4">
        <w:trPr>
          <w:trHeight w:val="276"/>
        </w:trPr>
        <w:tc>
          <w:tcPr>
            <w:tcW w:w="0" w:type="auto"/>
            <w:vMerge/>
            <w:vAlign w:val="center"/>
            <w:hideMark/>
          </w:tcPr>
          <w:p w:rsidR="00F2596C" w:rsidRDefault="00F2596C" w:rsidP="00DE62EA">
            <w:pPr>
              <w:jc w:val="center"/>
              <w:rPr>
                <w:rFonts w:ascii="Arial" w:hAnsi="Arial" w:cs="Arial"/>
                <w:color w:val="000000"/>
                <w:sz w:val="24"/>
                <w:szCs w:val="24"/>
                <w:lang w:eastAsia="tr-TR"/>
              </w:rPr>
            </w:pPr>
          </w:p>
        </w:tc>
        <w:tc>
          <w:tcPr>
            <w:tcW w:w="6" w:type="dxa"/>
            <w:tcBorders>
              <w:top w:val="nil"/>
              <w:left w:val="nil"/>
              <w:bottom w:val="nil"/>
              <w:right w:val="nil"/>
            </w:tcBorders>
            <w:vAlign w:val="center"/>
            <w:hideMark/>
          </w:tcPr>
          <w:p w:rsidR="00F2596C" w:rsidRDefault="00F2596C" w:rsidP="00DE62EA">
            <w:pPr>
              <w:jc w:val="center"/>
              <w:rPr>
                <w:rFonts w:ascii="Times New Roman" w:eastAsia="Times New Roman" w:hAnsi="Times New Roman"/>
                <w:sz w:val="20"/>
                <w:szCs w:val="20"/>
                <w:lang w:eastAsia="tr-TR"/>
              </w:rPr>
            </w:pPr>
          </w:p>
        </w:tc>
      </w:tr>
      <w:tr w:rsidR="00F2596C" w:rsidTr="00D77CB4">
        <w:trPr>
          <w:trHeight w:val="276"/>
        </w:trPr>
        <w:tc>
          <w:tcPr>
            <w:tcW w:w="0" w:type="auto"/>
            <w:vMerge/>
            <w:vAlign w:val="center"/>
            <w:hideMark/>
          </w:tcPr>
          <w:p w:rsidR="00F2596C" w:rsidRDefault="00F2596C" w:rsidP="00DE62EA">
            <w:pPr>
              <w:jc w:val="center"/>
              <w:rPr>
                <w:rFonts w:ascii="Arial" w:hAnsi="Arial" w:cs="Arial"/>
                <w:color w:val="000000"/>
                <w:sz w:val="24"/>
                <w:szCs w:val="24"/>
                <w:lang w:eastAsia="tr-TR"/>
              </w:rPr>
            </w:pPr>
          </w:p>
        </w:tc>
        <w:tc>
          <w:tcPr>
            <w:tcW w:w="6" w:type="dxa"/>
            <w:tcBorders>
              <w:top w:val="nil"/>
              <w:left w:val="nil"/>
              <w:bottom w:val="nil"/>
              <w:right w:val="nil"/>
            </w:tcBorders>
            <w:vAlign w:val="center"/>
            <w:hideMark/>
          </w:tcPr>
          <w:p w:rsidR="00F2596C" w:rsidRDefault="00F2596C" w:rsidP="00DE62EA">
            <w:pPr>
              <w:jc w:val="center"/>
              <w:rPr>
                <w:rFonts w:ascii="Times New Roman" w:eastAsia="Times New Roman" w:hAnsi="Times New Roman"/>
                <w:sz w:val="20"/>
                <w:szCs w:val="20"/>
                <w:lang w:eastAsia="tr-TR"/>
              </w:rPr>
            </w:pPr>
          </w:p>
        </w:tc>
      </w:tr>
      <w:tr w:rsidR="00F2596C" w:rsidTr="00D77CB4">
        <w:trPr>
          <w:trHeight w:val="276"/>
        </w:trPr>
        <w:tc>
          <w:tcPr>
            <w:tcW w:w="0" w:type="auto"/>
            <w:vMerge/>
            <w:vAlign w:val="center"/>
            <w:hideMark/>
          </w:tcPr>
          <w:p w:rsidR="00F2596C" w:rsidRDefault="00F2596C" w:rsidP="00DE62EA">
            <w:pPr>
              <w:jc w:val="center"/>
              <w:rPr>
                <w:rFonts w:ascii="Arial" w:hAnsi="Arial" w:cs="Arial"/>
                <w:color w:val="000000"/>
                <w:sz w:val="24"/>
                <w:szCs w:val="24"/>
                <w:lang w:eastAsia="tr-TR"/>
              </w:rPr>
            </w:pPr>
          </w:p>
        </w:tc>
        <w:tc>
          <w:tcPr>
            <w:tcW w:w="6" w:type="dxa"/>
            <w:tcBorders>
              <w:top w:val="nil"/>
              <w:left w:val="nil"/>
              <w:bottom w:val="nil"/>
              <w:right w:val="nil"/>
            </w:tcBorders>
            <w:vAlign w:val="center"/>
            <w:hideMark/>
          </w:tcPr>
          <w:p w:rsidR="00F2596C" w:rsidRDefault="00F2596C" w:rsidP="00DE62EA">
            <w:pPr>
              <w:jc w:val="center"/>
              <w:rPr>
                <w:rFonts w:ascii="Times New Roman" w:eastAsia="Times New Roman" w:hAnsi="Times New Roman"/>
                <w:sz w:val="20"/>
                <w:szCs w:val="20"/>
                <w:lang w:eastAsia="tr-TR"/>
              </w:rPr>
            </w:pPr>
          </w:p>
        </w:tc>
      </w:tr>
      <w:tr w:rsidR="00F2596C" w:rsidTr="00D77CB4">
        <w:trPr>
          <w:trHeight w:val="276"/>
        </w:trPr>
        <w:tc>
          <w:tcPr>
            <w:tcW w:w="0" w:type="auto"/>
            <w:vMerge/>
            <w:vAlign w:val="center"/>
            <w:hideMark/>
          </w:tcPr>
          <w:p w:rsidR="00F2596C" w:rsidRDefault="00F2596C" w:rsidP="00DE62EA">
            <w:pPr>
              <w:jc w:val="center"/>
              <w:rPr>
                <w:rFonts w:ascii="Arial" w:hAnsi="Arial" w:cs="Arial"/>
                <w:color w:val="000000"/>
                <w:sz w:val="24"/>
                <w:szCs w:val="24"/>
                <w:lang w:eastAsia="tr-TR"/>
              </w:rPr>
            </w:pPr>
          </w:p>
        </w:tc>
        <w:tc>
          <w:tcPr>
            <w:tcW w:w="6" w:type="dxa"/>
            <w:tcBorders>
              <w:top w:val="nil"/>
              <w:left w:val="nil"/>
              <w:bottom w:val="nil"/>
              <w:right w:val="nil"/>
            </w:tcBorders>
            <w:vAlign w:val="center"/>
            <w:hideMark/>
          </w:tcPr>
          <w:p w:rsidR="00F2596C" w:rsidRDefault="00F2596C" w:rsidP="00DE62EA">
            <w:pPr>
              <w:jc w:val="center"/>
              <w:rPr>
                <w:rFonts w:ascii="Times New Roman" w:eastAsia="Times New Roman" w:hAnsi="Times New Roman"/>
                <w:sz w:val="20"/>
                <w:szCs w:val="20"/>
                <w:lang w:eastAsia="tr-TR"/>
              </w:rPr>
            </w:pPr>
          </w:p>
        </w:tc>
      </w:tr>
      <w:tr w:rsidR="00F2596C" w:rsidTr="00D77CB4">
        <w:trPr>
          <w:trHeight w:val="276"/>
        </w:trPr>
        <w:tc>
          <w:tcPr>
            <w:tcW w:w="0" w:type="auto"/>
            <w:vMerge/>
            <w:vAlign w:val="center"/>
            <w:hideMark/>
          </w:tcPr>
          <w:p w:rsidR="00F2596C" w:rsidRDefault="00F2596C" w:rsidP="00DE62EA">
            <w:pPr>
              <w:jc w:val="center"/>
              <w:rPr>
                <w:rFonts w:ascii="Arial" w:hAnsi="Arial" w:cs="Arial"/>
                <w:color w:val="000000"/>
                <w:sz w:val="24"/>
                <w:szCs w:val="24"/>
                <w:lang w:eastAsia="tr-TR"/>
              </w:rPr>
            </w:pPr>
          </w:p>
        </w:tc>
        <w:tc>
          <w:tcPr>
            <w:tcW w:w="6" w:type="dxa"/>
            <w:tcBorders>
              <w:top w:val="nil"/>
              <w:left w:val="nil"/>
              <w:bottom w:val="nil"/>
              <w:right w:val="nil"/>
            </w:tcBorders>
            <w:vAlign w:val="center"/>
            <w:hideMark/>
          </w:tcPr>
          <w:p w:rsidR="00F2596C" w:rsidRDefault="00F2596C" w:rsidP="00DE62EA">
            <w:pPr>
              <w:jc w:val="center"/>
              <w:rPr>
                <w:rFonts w:ascii="Times New Roman" w:eastAsia="Times New Roman" w:hAnsi="Times New Roman"/>
                <w:sz w:val="20"/>
                <w:szCs w:val="20"/>
                <w:lang w:eastAsia="tr-TR"/>
              </w:rPr>
            </w:pPr>
          </w:p>
        </w:tc>
      </w:tr>
      <w:tr w:rsidR="00F2596C" w:rsidTr="00D77CB4">
        <w:trPr>
          <w:trHeight w:val="276"/>
        </w:trPr>
        <w:tc>
          <w:tcPr>
            <w:tcW w:w="0" w:type="auto"/>
            <w:vMerge/>
            <w:vAlign w:val="center"/>
            <w:hideMark/>
          </w:tcPr>
          <w:p w:rsidR="00F2596C" w:rsidRDefault="00F2596C" w:rsidP="00DE62EA">
            <w:pPr>
              <w:jc w:val="center"/>
              <w:rPr>
                <w:rFonts w:ascii="Arial" w:hAnsi="Arial" w:cs="Arial"/>
                <w:color w:val="000000"/>
                <w:sz w:val="24"/>
                <w:szCs w:val="24"/>
                <w:lang w:eastAsia="tr-TR"/>
              </w:rPr>
            </w:pPr>
          </w:p>
        </w:tc>
        <w:tc>
          <w:tcPr>
            <w:tcW w:w="6" w:type="dxa"/>
            <w:tcBorders>
              <w:top w:val="nil"/>
              <w:left w:val="nil"/>
              <w:bottom w:val="nil"/>
              <w:right w:val="nil"/>
            </w:tcBorders>
            <w:vAlign w:val="center"/>
            <w:hideMark/>
          </w:tcPr>
          <w:p w:rsidR="00F2596C" w:rsidRDefault="00F2596C" w:rsidP="00DE62EA">
            <w:pPr>
              <w:jc w:val="center"/>
              <w:rPr>
                <w:rFonts w:ascii="Times New Roman" w:eastAsia="Times New Roman" w:hAnsi="Times New Roman"/>
                <w:sz w:val="20"/>
                <w:szCs w:val="20"/>
                <w:lang w:eastAsia="tr-TR"/>
              </w:rPr>
            </w:pPr>
          </w:p>
        </w:tc>
      </w:tr>
      <w:tr w:rsidR="00F2596C" w:rsidTr="00D77CB4">
        <w:trPr>
          <w:trHeight w:val="276"/>
        </w:trPr>
        <w:tc>
          <w:tcPr>
            <w:tcW w:w="0" w:type="auto"/>
            <w:vMerge/>
            <w:vAlign w:val="center"/>
            <w:hideMark/>
          </w:tcPr>
          <w:p w:rsidR="00F2596C" w:rsidRDefault="00F2596C">
            <w:pPr>
              <w:rPr>
                <w:rFonts w:ascii="Arial" w:hAnsi="Arial" w:cs="Arial"/>
                <w:color w:val="000000"/>
                <w:sz w:val="24"/>
                <w:szCs w:val="24"/>
                <w:lang w:eastAsia="tr-TR"/>
              </w:rPr>
            </w:pPr>
          </w:p>
        </w:tc>
        <w:tc>
          <w:tcPr>
            <w:tcW w:w="6" w:type="dxa"/>
            <w:tcBorders>
              <w:top w:val="nil"/>
              <w:left w:val="nil"/>
              <w:bottom w:val="nil"/>
              <w:right w:val="nil"/>
            </w:tcBorders>
            <w:vAlign w:val="center"/>
            <w:hideMark/>
          </w:tcPr>
          <w:p w:rsidR="00F2596C" w:rsidRDefault="00F2596C">
            <w:pPr>
              <w:rPr>
                <w:rFonts w:ascii="Times New Roman" w:eastAsia="Times New Roman" w:hAnsi="Times New Roman"/>
                <w:sz w:val="20"/>
                <w:szCs w:val="20"/>
                <w:lang w:eastAsia="tr-TR"/>
              </w:rPr>
            </w:pPr>
          </w:p>
        </w:tc>
      </w:tr>
      <w:tr w:rsidR="00F2596C" w:rsidTr="00D77CB4">
        <w:trPr>
          <w:trHeight w:val="276"/>
        </w:trPr>
        <w:tc>
          <w:tcPr>
            <w:tcW w:w="0" w:type="auto"/>
            <w:vMerge/>
            <w:vAlign w:val="center"/>
            <w:hideMark/>
          </w:tcPr>
          <w:p w:rsidR="00F2596C" w:rsidRDefault="00F2596C">
            <w:pPr>
              <w:rPr>
                <w:rFonts w:ascii="Arial" w:hAnsi="Arial" w:cs="Arial"/>
                <w:color w:val="000000"/>
                <w:sz w:val="24"/>
                <w:szCs w:val="24"/>
                <w:lang w:eastAsia="tr-TR"/>
              </w:rPr>
            </w:pPr>
          </w:p>
        </w:tc>
        <w:tc>
          <w:tcPr>
            <w:tcW w:w="6" w:type="dxa"/>
            <w:tcBorders>
              <w:top w:val="nil"/>
              <w:left w:val="nil"/>
              <w:bottom w:val="nil"/>
              <w:right w:val="nil"/>
            </w:tcBorders>
            <w:vAlign w:val="center"/>
            <w:hideMark/>
          </w:tcPr>
          <w:p w:rsidR="00F2596C" w:rsidRDefault="00F2596C">
            <w:pPr>
              <w:rPr>
                <w:rFonts w:ascii="Times New Roman" w:eastAsia="Times New Roman" w:hAnsi="Times New Roman"/>
                <w:sz w:val="20"/>
                <w:szCs w:val="20"/>
                <w:lang w:eastAsia="tr-TR"/>
              </w:rPr>
            </w:pPr>
          </w:p>
        </w:tc>
      </w:tr>
      <w:tr w:rsidR="00F2596C" w:rsidTr="00D77CB4">
        <w:trPr>
          <w:trHeight w:val="276"/>
        </w:trPr>
        <w:tc>
          <w:tcPr>
            <w:tcW w:w="0" w:type="auto"/>
            <w:vMerge/>
            <w:vAlign w:val="center"/>
            <w:hideMark/>
          </w:tcPr>
          <w:p w:rsidR="00F2596C" w:rsidRDefault="00F2596C">
            <w:pPr>
              <w:rPr>
                <w:rFonts w:ascii="Arial" w:hAnsi="Arial" w:cs="Arial"/>
                <w:color w:val="000000"/>
                <w:sz w:val="24"/>
                <w:szCs w:val="24"/>
                <w:lang w:eastAsia="tr-TR"/>
              </w:rPr>
            </w:pPr>
          </w:p>
        </w:tc>
        <w:tc>
          <w:tcPr>
            <w:tcW w:w="6" w:type="dxa"/>
            <w:tcBorders>
              <w:top w:val="nil"/>
              <w:left w:val="nil"/>
              <w:bottom w:val="nil"/>
              <w:right w:val="nil"/>
            </w:tcBorders>
            <w:vAlign w:val="center"/>
            <w:hideMark/>
          </w:tcPr>
          <w:p w:rsidR="00F2596C" w:rsidRDefault="00F2596C">
            <w:pPr>
              <w:rPr>
                <w:rFonts w:ascii="Times New Roman" w:eastAsia="Times New Roman" w:hAnsi="Times New Roman"/>
                <w:sz w:val="20"/>
                <w:szCs w:val="20"/>
                <w:lang w:eastAsia="tr-TR"/>
              </w:rPr>
            </w:pPr>
          </w:p>
        </w:tc>
      </w:tr>
      <w:tr w:rsidR="00F2596C" w:rsidTr="00D77CB4">
        <w:trPr>
          <w:trHeight w:val="276"/>
        </w:trPr>
        <w:tc>
          <w:tcPr>
            <w:tcW w:w="0" w:type="auto"/>
            <w:vMerge/>
            <w:vAlign w:val="center"/>
            <w:hideMark/>
          </w:tcPr>
          <w:p w:rsidR="00F2596C" w:rsidRDefault="00F2596C">
            <w:pPr>
              <w:rPr>
                <w:rFonts w:ascii="Arial" w:hAnsi="Arial" w:cs="Arial"/>
                <w:color w:val="000000"/>
                <w:sz w:val="24"/>
                <w:szCs w:val="24"/>
                <w:lang w:eastAsia="tr-TR"/>
              </w:rPr>
            </w:pPr>
          </w:p>
        </w:tc>
        <w:tc>
          <w:tcPr>
            <w:tcW w:w="6" w:type="dxa"/>
            <w:tcBorders>
              <w:top w:val="nil"/>
              <w:left w:val="nil"/>
              <w:bottom w:val="nil"/>
              <w:right w:val="nil"/>
            </w:tcBorders>
            <w:vAlign w:val="center"/>
            <w:hideMark/>
          </w:tcPr>
          <w:p w:rsidR="00F2596C" w:rsidRDefault="00F2596C">
            <w:pPr>
              <w:rPr>
                <w:rFonts w:ascii="Times New Roman" w:eastAsia="Times New Roman" w:hAnsi="Times New Roman"/>
                <w:sz w:val="20"/>
                <w:szCs w:val="20"/>
                <w:lang w:eastAsia="tr-TR"/>
              </w:rPr>
            </w:pPr>
          </w:p>
        </w:tc>
      </w:tr>
      <w:tr w:rsidR="00F2596C" w:rsidTr="00D77CB4">
        <w:trPr>
          <w:trHeight w:val="276"/>
        </w:trPr>
        <w:tc>
          <w:tcPr>
            <w:tcW w:w="0" w:type="auto"/>
            <w:vMerge/>
            <w:vAlign w:val="center"/>
            <w:hideMark/>
          </w:tcPr>
          <w:p w:rsidR="00F2596C" w:rsidRDefault="00F2596C">
            <w:pPr>
              <w:rPr>
                <w:rFonts w:ascii="Arial" w:hAnsi="Arial" w:cs="Arial"/>
                <w:color w:val="000000"/>
                <w:sz w:val="24"/>
                <w:szCs w:val="24"/>
                <w:lang w:eastAsia="tr-TR"/>
              </w:rPr>
            </w:pPr>
          </w:p>
        </w:tc>
        <w:tc>
          <w:tcPr>
            <w:tcW w:w="6" w:type="dxa"/>
            <w:tcBorders>
              <w:top w:val="nil"/>
              <w:left w:val="nil"/>
              <w:bottom w:val="nil"/>
              <w:right w:val="nil"/>
            </w:tcBorders>
            <w:vAlign w:val="center"/>
            <w:hideMark/>
          </w:tcPr>
          <w:p w:rsidR="00F2596C" w:rsidRDefault="00F2596C">
            <w:pPr>
              <w:rPr>
                <w:rFonts w:ascii="Times New Roman" w:eastAsia="Times New Roman" w:hAnsi="Times New Roman"/>
                <w:sz w:val="20"/>
                <w:szCs w:val="20"/>
                <w:lang w:eastAsia="tr-TR"/>
              </w:rPr>
            </w:pPr>
          </w:p>
        </w:tc>
      </w:tr>
      <w:tr w:rsidR="00F2596C" w:rsidTr="00D77CB4">
        <w:trPr>
          <w:trHeight w:val="276"/>
        </w:trPr>
        <w:tc>
          <w:tcPr>
            <w:tcW w:w="0" w:type="auto"/>
            <w:vMerge/>
            <w:vAlign w:val="center"/>
            <w:hideMark/>
          </w:tcPr>
          <w:p w:rsidR="00F2596C" w:rsidRDefault="00F2596C">
            <w:pPr>
              <w:rPr>
                <w:rFonts w:ascii="Arial" w:hAnsi="Arial" w:cs="Arial"/>
                <w:color w:val="000000"/>
                <w:sz w:val="24"/>
                <w:szCs w:val="24"/>
                <w:lang w:eastAsia="tr-TR"/>
              </w:rPr>
            </w:pPr>
          </w:p>
        </w:tc>
        <w:tc>
          <w:tcPr>
            <w:tcW w:w="6" w:type="dxa"/>
            <w:tcBorders>
              <w:top w:val="nil"/>
              <w:left w:val="nil"/>
              <w:bottom w:val="nil"/>
              <w:right w:val="nil"/>
            </w:tcBorders>
            <w:vAlign w:val="center"/>
            <w:hideMark/>
          </w:tcPr>
          <w:p w:rsidR="00F2596C" w:rsidRDefault="00F2596C">
            <w:pPr>
              <w:rPr>
                <w:rFonts w:ascii="Times New Roman" w:eastAsia="Times New Roman" w:hAnsi="Times New Roman"/>
                <w:sz w:val="20"/>
                <w:szCs w:val="20"/>
                <w:lang w:eastAsia="tr-TR"/>
              </w:rPr>
            </w:pPr>
          </w:p>
        </w:tc>
      </w:tr>
      <w:tr w:rsidR="00F2596C" w:rsidTr="00D77CB4">
        <w:trPr>
          <w:trHeight w:val="276"/>
        </w:trPr>
        <w:tc>
          <w:tcPr>
            <w:tcW w:w="0" w:type="auto"/>
            <w:vMerge/>
            <w:vAlign w:val="center"/>
            <w:hideMark/>
          </w:tcPr>
          <w:p w:rsidR="00F2596C" w:rsidRDefault="00F2596C">
            <w:pPr>
              <w:rPr>
                <w:rFonts w:ascii="Arial" w:hAnsi="Arial" w:cs="Arial"/>
                <w:color w:val="000000"/>
                <w:sz w:val="24"/>
                <w:szCs w:val="24"/>
                <w:lang w:eastAsia="tr-TR"/>
              </w:rPr>
            </w:pPr>
          </w:p>
        </w:tc>
        <w:tc>
          <w:tcPr>
            <w:tcW w:w="6" w:type="dxa"/>
            <w:tcBorders>
              <w:top w:val="nil"/>
              <w:left w:val="nil"/>
              <w:bottom w:val="nil"/>
              <w:right w:val="nil"/>
            </w:tcBorders>
            <w:vAlign w:val="center"/>
            <w:hideMark/>
          </w:tcPr>
          <w:p w:rsidR="00F2596C" w:rsidRDefault="00F2596C">
            <w:pPr>
              <w:rPr>
                <w:rFonts w:ascii="Times New Roman" w:eastAsia="Times New Roman" w:hAnsi="Times New Roman"/>
                <w:sz w:val="20"/>
                <w:szCs w:val="20"/>
                <w:lang w:eastAsia="tr-TR"/>
              </w:rPr>
            </w:pPr>
          </w:p>
        </w:tc>
      </w:tr>
      <w:tr w:rsidR="00F2596C" w:rsidTr="00D77CB4">
        <w:trPr>
          <w:trHeight w:val="276"/>
        </w:trPr>
        <w:tc>
          <w:tcPr>
            <w:tcW w:w="0" w:type="auto"/>
            <w:vMerge/>
            <w:vAlign w:val="center"/>
            <w:hideMark/>
          </w:tcPr>
          <w:p w:rsidR="00F2596C" w:rsidRDefault="00F2596C">
            <w:pPr>
              <w:rPr>
                <w:rFonts w:ascii="Arial" w:hAnsi="Arial" w:cs="Arial"/>
                <w:color w:val="000000"/>
                <w:sz w:val="24"/>
                <w:szCs w:val="24"/>
                <w:lang w:eastAsia="tr-TR"/>
              </w:rPr>
            </w:pPr>
          </w:p>
        </w:tc>
        <w:tc>
          <w:tcPr>
            <w:tcW w:w="6" w:type="dxa"/>
            <w:tcBorders>
              <w:top w:val="nil"/>
              <w:left w:val="nil"/>
              <w:bottom w:val="nil"/>
              <w:right w:val="nil"/>
            </w:tcBorders>
            <w:vAlign w:val="center"/>
            <w:hideMark/>
          </w:tcPr>
          <w:p w:rsidR="00F2596C" w:rsidRDefault="00F2596C">
            <w:pPr>
              <w:rPr>
                <w:rFonts w:ascii="Times New Roman" w:eastAsia="Times New Roman" w:hAnsi="Times New Roman"/>
                <w:sz w:val="20"/>
                <w:szCs w:val="20"/>
                <w:lang w:eastAsia="tr-TR"/>
              </w:rPr>
            </w:pPr>
          </w:p>
        </w:tc>
      </w:tr>
      <w:tr w:rsidR="00F2596C" w:rsidTr="00D77CB4">
        <w:trPr>
          <w:trHeight w:val="276"/>
        </w:trPr>
        <w:tc>
          <w:tcPr>
            <w:tcW w:w="0" w:type="auto"/>
            <w:vMerge/>
            <w:vAlign w:val="center"/>
            <w:hideMark/>
          </w:tcPr>
          <w:p w:rsidR="00F2596C" w:rsidRDefault="00F2596C">
            <w:pPr>
              <w:rPr>
                <w:rFonts w:ascii="Arial" w:hAnsi="Arial" w:cs="Arial"/>
                <w:color w:val="000000"/>
                <w:sz w:val="24"/>
                <w:szCs w:val="24"/>
                <w:lang w:eastAsia="tr-TR"/>
              </w:rPr>
            </w:pPr>
          </w:p>
        </w:tc>
        <w:tc>
          <w:tcPr>
            <w:tcW w:w="6" w:type="dxa"/>
            <w:tcBorders>
              <w:top w:val="nil"/>
              <w:left w:val="nil"/>
              <w:bottom w:val="nil"/>
              <w:right w:val="nil"/>
            </w:tcBorders>
            <w:vAlign w:val="center"/>
            <w:hideMark/>
          </w:tcPr>
          <w:p w:rsidR="00F2596C" w:rsidRDefault="00F2596C">
            <w:pPr>
              <w:rPr>
                <w:rFonts w:ascii="Times New Roman" w:eastAsia="Times New Roman" w:hAnsi="Times New Roman"/>
                <w:sz w:val="20"/>
                <w:szCs w:val="20"/>
                <w:lang w:eastAsia="tr-TR"/>
              </w:rPr>
            </w:pPr>
          </w:p>
        </w:tc>
      </w:tr>
      <w:tr w:rsidR="00F2596C" w:rsidTr="00D77CB4">
        <w:trPr>
          <w:trHeight w:val="276"/>
        </w:trPr>
        <w:tc>
          <w:tcPr>
            <w:tcW w:w="0" w:type="auto"/>
            <w:vMerge/>
            <w:vAlign w:val="center"/>
            <w:hideMark/>
          </w:tcPr>
          <w:p w:rsidR="00F2596C" w:rsidRDefault="00F2596C">
            <w:pPr>
              <w:rPr>
                <w:rFonts w:ascii="Arial" w:hAnsi="Arial" w:cs="Arial"/>
                <w:color w:val="000000"/>
                <w:sz w:val="24"/>
                <w:szCs w:val="24"/>
                <w:lang w:eastAsia="tr-TR"/>
              </w:rPr>
            </w:pPr>
          </w:p>
        </w:tc>
        <w:tc>
          <w:tcPr>
            <w:tcW w:w="6" w:type="dxa"/>
            <w:tcBorders>
              <w:top w:val="nil"/>
              <w:left w:val="nil"/>
              <w:bottom w:val="nil"/>
              <w:right w:val="nil"/>
            </w:tcBorders>
            <w:vAlign w:val="center"/>
            <w:hideMark/>
          </w:tcPr>
          <w:p w:rsidR="00F2596C" w:rsidRDefault="00F2596C">
            <w:pPr>
              <w:rPr>
                <w:rFonts w:ascii="Times New Roman" w:eastAsia="Times New Roman" w:hAnsi="Times New Roman"/>
                <w:sz w:val="20"/>
                <w:szCs w:val="20"/>
                <w:lang w:eastAsia="tr-TR"/>
              </w:rPr>
            </w:pPr>
          </w:p>
        </w:tc>
      </w:tr>
      <w:tr w:rsidR="00F2596C" w:rsidTr="00D77CB4">
        <w:trPr>
          <w:trHeight w:val="276"/>
        </w:trPr>
        <w:tc>
          <w:tcPr>
            <w:tcW w:w="0" w:type="auto"/>
            <w:vMerge/>
            <w:vAlign w:val="center"/>
            <w:hideMark/>
          </w:tcPr>
          <w:p w:rsidR="00F2596C" w:rsidRDefault="00F2596C">
            <w:pPr>
              <w:rPr>
                <w:rFonts w:ascii="Arial" w:hAnsi="Arial" w:cs="Arial"/>
                <w:color w:val="000000"/>
                <w:sz w:val="24"/>
                <w:szCs w:val="24"/>
                <w:lang w:eastAsia="tr-TR"/>
              </w:rPr>
            </w:pPr>
          </w:p>
        </w:tc>
        <w:tc>
          <w:tcPr>
            <w:tcW w:w="6" w:type="dxa"/>
            <w:tcBorders>
              <w:top w:val="nil"/>
              <w:left w:val="nil"/>
              <w:bottom w:val="nil"/>
              <w:right w:val="nil"/>
            </w:tcBorders>
            <w:vAlign w:val="center"/>
            <w:hideMark/>
          </w:tcPr>
          <w:p w:rsidR="00F2596C" w:rsidRDefault="00F2596C">
            <w:pPr>
              <w:rPr>
                <w:rFonts w:ascii="Times New Roman" w:eastAsia="Times New Roman" w:hAnsi="Times New Roman"/>
                <w:sz w:val="20"/>
                <w:szCs w:val="20"/>
                <w:lang w:eastAsia="tr-TR"/>
              </w:rPr>
            </w:pPr>
          </w:p>
        </w:tc>
      </w:tr>
      <w:tr w:rsidR="00F2596C" w:rsidTr="00D77CB4">
        <w:trPr>
          <w:trHeight w:val="276"/>
        </w:trPr>
        <w:tc>
          <w:tcPr>
            <w:tcW w:w="0" w:type="auto"/>
            <w:vMerge/>
            <w:vAlign w:val="center"/>
            <w:hideMark/>
          </w:tcPr>
          <w:p w:rsidR="00F2596C" w:rsidRDefault="00F2596C">
            <w:pPr>
              <w:rPr>
                <w:rFonts w:ascii="Arial" w:hAnsi="Arial" w:cs="Arial"/>
                <w:color w:val="000000"/>
                <w:sz w:val="24"/>
                <w:szCs w:val="24"/>
                <w:lang w:eastAsia="tr-TR"/>
              </w:rPr>
            </w:pPr>
          </w:p>
        </w:tc>
        <w:tc>
          <w:tcPr>
            <w:tcW w:w="6" w:type="dxa"/>
            <w:tcBorders>
              <w:top w:val="nil"/>
              <w:left w:val="nil"/>
              <w:bottom w:val="nil"/>
              <w:right w:val="nil"/>
            </w:tcBorders>
            <w:vAlign w:val="center"/>
            <w:hideMark/>
          </w:tcPr>
          <w:p w:rsidR="00F2596C" w:rsidRDefault="00F2596C">
            <w:pPr>
              <w:rPr>
                <w:rFonts w:ascii="Times New Roman" w:eastAsia="Times New Roman" w:hAnsi="Times New Roman"/>
                <w:sz w:val="20"/>
                <w:szCs w:val="20"/>
                <w:lang w:eastAsia="tr-TR"/>
              </w:rPr>
            </w:pPr>
          </w:p>
        </w:tc>
      </w:tr>
      <w:tr w:rsidR="00F2596C" w:rsidTr="00D77CB4">
        <w:trPr>
          <w:trHeight w:val="276"/>
        </w:trPr>
        <w:tc>
          <w:tcPr>
            <w:tcW w:w="0" w:type="auto"/>
            <w:vMerge/>
            <w:vAlign w:val="center"/>
            <w:hideMark/>
          </w:tcPr>
          <w:p w:rsidR="00F2596C" w:rsidRDefault="00F2596C">
            <w:pPr>
              <w:rPr>
                <w:rFonts w:ascii="Arial" w:hAnsi="Arial" w:cs="Arial"/>
                <w:color w:val="000000"/>
                <w:sz w:val="24"/>
                <w:szCs w:val="24"/>
                <w:lang w:eastAsia="tr-TR"/>
              </w:rPr>
            </w:pPr>
          </w:p>
        </w:tc>
        <w:tc>
          <w:tcPr>
            <w:tcW w:w="6" w:type="dxa"/>
            <w:tcBorders>
              <w:top w:val="nil"/>
              <w:left w:val="nil"/>
              <w:bottom w:val="nil"/>
              <w:right w:val="nil"/>
            </w:tcBorders>
            <w:vAlign w:val="center"/>
            <w:hideMark/>
          </w:tcPr>
          <w:p w:rsidR="00F2596C" w:rsidRDefault="00F2596C">
            <w:pPr>
              <w:rPr>
                <w:rFonts w:ascii="Times New Roman" w:eastAsia="Times New Roman" w:hAnsi="Times New Roman"/>
                <w:sz w:val="20"/>
                <w:szCs w:val="20"/>
                <w:lang w:eastAsia="tr-TR"/>
              </w:rPr>
            </w:pPr>
          </w:p>
        </w:tc>
      </w:tr>
      <w:tr w:rsidR="00F2596C" w:rsidTr="00D77CB4">
        <w:trPr>
          <w:trHeight w:val="276"/>
        </w:trPr>
        <w:tc>
          <w:tcPr>
            <w:tcW w:w="0" w:type="auto"/>
            <w:vMerge/>
            <w:vAlign w:val="center"/>
            <w:hideMark/>
          </w:tcPr>
          <w:p w:rsidR="00F2596C" w:rsidRDefault="00F2596C">
            <w:pPr>
              <w:rPr>
                <w:rFonts w:ascii="Arial" w:hAnsi="Arial" w:cs="Arial"/>
                <w:color w:val="000000"/>
                <w:sz w:val="24"/>
                <w:szCs w:val="24"/>
                <w:lang w:eastAsia="tr-TR"/>
              </w:rPr>
            </w:pPr>
          </w:p>
        </w:tc>
        <w:tc>
          <w:tcPr>
            <w:tcW w:w="6" w:type="dxa"/>
            <w:tcBorders>
              <w:top w:val="nil"/>
              <w:left w:val="nil"/>
              <w:bottom w:val="nil"/>
              <w:right w:val="nil"/>
            </w:tcBorders>
            <w:vAlign w:val="center"/>
            <w:hideMark/>
          </w:tcPr>
          <w:p w:rsidR="00F2596C" w:rsidRDefault="00F2596C">
            <w:pPr>
              <w:rPr>
                <w:rFonts w:ascii="Times New Roman" w:eastAsia="Times New Roman" w:hAnsi="Times New Roman"/>
                <w:sz w:val="20"/>
                <w:szCs w:val="20"/>
                <w:lang w:eastAsia="tr-TR"/>
              </w:rPr>
            </w:pPr>
          </w:p>
        </w:tc>
      </w:tr>
    </w:tbl>
    <w:p w:rsidR="00F2596C" w:rsidRDefault="007C12E3" w:rsidP="00F2596C">
      <w:pPr>
        <w:rPr>
          <w:rFonts w:ascii="Arial" w:hAnsi="Arial" w:cs="Arial"/>
        </w:rPr>
      </w:pPr>
      <w:r>
        <w:rPr>
          <w:rFonts w:ascii="Arial" w:hAnsi="Arial" w:cs="Arial"/>
        </w:rPr>
        <w:t>Zemine gömme montaja uygun, petrol ayırıcıların</w:t>
      </w:r>
      <w:r w:rsidR="00D629B4">
        <w:rPr>
          <w:rFonts w:ascii="Arial" w:hAnsi="Arial" w:cs="Arial"/>
        </w:rPr>
        <w:t xml:space="preserve"> çıkış hattına monte edilmeye </w:t>
      </w:r>
      <w:r w:rsidR="003323C3">
        <w:rPr>
          <w:rFonts w:ascii="Arial" w:hAnsi="Arial" w:cs="Arial"/>
        </w:rPr>
        <w:t>uygun, giriş</w:t>
      </w:r>
      <w:r w:rsidR="00D629B4">
        <w:rPr>
          <w:rFonts w:ascii="Arial" w:hAnsi="Arial" w:cs="Arial"/>
        </w:rPr>
        <w:t xml:space="preserve"> ve çıkışlar DN100 ve DN150 ölçüsünde DIN 19534’e göre polimer borulara </w:t>
      </w:r>
      <w:r w:rsidR="003323C3">
        <w:rPr>
          <w:rFonts w:ascii="Arial" w:hAnsi="Arial" w:cs="Arial"/>
        </w:rPr>
        <w:t xml:space="preserve">bağlanmaya uygun, rögar iç çapı 400mm, sabitleme kelepçeli yükseklik ayarlı üst kapak kısımlı, giriş-çıkış arası yükseklik farkı 120mm, EN 124’e göre Yük sınıfı A:1,5 ton, B:12,5 </w:t>
      </w:r>
      <w:proofErr w:type="gramStart"/>
      <w:r w:rsidR="003323C3">
        <w:rPr>
          <w:rFonts w:ascii="Arial" w:hAnsi="Arial" w:cs="Arial"/>
        </w:rPr>
        <w:t>ton , D</w:t>
      </w:r>
      <w:proofErr w:type="gramEnd"/>
      <w:r w:rsidR="003323C3">
        <w:rPr>
          <w:rFonts w:ascii="Arial" w:hAnsi="Arial" w:cs="Arial"/>
        </w:rPr>
        <w:t>:40ton (=</w:t>
      </w:r>
      <w:proofErr w:type="spellStart"/>
      <w:r w:rsidR="003323C3">
        <w:rPr>
          <w:rFonts w:ascii="Arial" w:hAnsi="Arial" w:cs="Arial"/>
        </w:rPr>
        <w:t>forklift</w:t>
      </w:r>
      <w:proofErr w:type="spellEnd"/>
      <w:r w:rsidR="003323C3">
        <w:rPr>
          <w:rFonts w:ascii="Arial" w:hAnsi="Arial" w:cs="Arial"/>
        </w:rPr>
        <w:t xml:space="preserve"> ve kamyon trafiğine dayanıklı) tipi üst kapak seçenekli</w:t>
      </w:r>
      <w:r w:rsidR="00743502">
        <w:rPr>
          <w:rFonts w:ascii="Arial" w:hAnsi="Arial" w:cs="Arial"/>
        </w:rPr>
        <w:t xml:space="preserve">, daha sığ montaj </w:t>
      </w:r>
      <w:proofErr w:type="spellStart"/>
      <w:r w:rsidR="00743502">
        <w:rPr>
          <w:rFonts w:ascii="Arial" w:hAnsi="Arial" w:cs="Arial"/>
        </w:rPr>
        <w:t>dernlikleri</w:t>
      </w:r>
      <w:proofErr w:type="spellEnd"/>
      <w:r w:rsidR="00743502">
        <w:rPr>
          <w:rFonts w:ascii="Arial" w:hAnsi="Arial" w:cs="Arial"/>
        </w:rPr>
        <w:t xml:space="preserve"> gerektiğinde alt gövdenin </w:t>
      </w:r>
      <w:proofErr w:type="spellStart"/>
      <w:r w:rsidR="00743502">
        <w:rPr>
          <w:rFonts w:ascii="Arial" w:hAnsi="Arial" w:cs="Arial"/>
        </w:rPr>
        <w:t>kaburgalı</w:t>
      </w:r>
      <w:proofErr w:type="spellEnd"/>
      <w:r w:rsidR="00743502">
        <w:rPr>
          <w:rFonts w:ascii="Arial" w:hAnsi="Arial" w:cs="Arial"/>
        </w:rPr>
        <w:t xml:space="preserve"> kısmından testereyle kesilerek istenen yüksekliğin ayarlanabildiği, polietilen kontrol rögarı.</w:t>
      </w:r>
    </w:p>
    <w:p w:rsidR="00743502" w:rsidRDefault="00743502" w:rsidP="00F2596C">
      <w:pPr>
        <w:rPr>
          <w:rFonts w:ascii="Arial" w:hAnsi="Arial" w:cs="Arial"/>
        </w:rPr>
      </w:pPr>
    </w:p>
    <w:p w:rsidR="00743502" w:rsidRPr="00743502" w:rsidRDefault="00743502" w:rsidP="00743502">
      <w:pPr>
        <w:jc w:val="center"/>
        <w:rPr>
          <w:rFonts w:ascii="Arial" w:hAnsi="Arial" w:cs="Arial"/>
          <w:b/>
        </w:rPr>
      </w:pPr>
      <w:r w:rsidRPr="00743502">
        <w:rPr>
          <w:rFonts w:ascii="Arial" w:hAnsi="Arial" w:cs="Arial"/>
          <w:b/>
        </w:rPr>
        <w:t>POLİETİLEN KONTROL RÖGARI, 800MM ÇAPLI</w:t>
      </w:r>
    </w:p>
    <w:p w:rsidR="00743502" w:rsidRDefault="00743502" w:rsidP="00F2596C">
      <w:pPr>
        <w:rPr>
          <w:rFonts w:ascii="Arial" w:hAnsi="Arial" w:cs="Arial"/>
        </w:rPr>
      </w:pPr>
      <w:r>
        <w:rPr>
          <w:rFonts w:ascii="Arial" w:hAnsi="Arial" w:cs="Arial"/>
        </w:rPr>
        <w:t>Zemine gömme montaja uygun, petrol ayırıcıların çıkış hattına monte edilmeye uygun, giriş ve çıkışlar</w:t>
      </w:r>
      <w:r>
        <w:rPr>
          <w:rFonts w:ascii="Arial" w:hAnsi="Arial" w:cs="Arial"/>
        </w:rPr>
        <w:t xml:space="preserve"> DIN 19522’ye göre SML pik savurma döküm DN150 çaplı borulara bağlanmaya </w:t>
      </w:r>
      <w:proofErr w:type="gramStart"/>
      <w:r>
        <w:rPr>
          <w:rFonts w:ascii="Arial" w:hAnsi="Arial" w:cs="Arial"/>
        </w:rPr>
        <w:t>uygun , rögar</w:t>
      </w:r>
      <w:proofErr w:type="gramEnd"/>
      <w:r>
        <w:rPr>
          <w:rFonts w:ascii="Arial" w:hAnsi="Arial" w:cs="Arial"/>
        </w:rPr>
        <w:t xml:space="preserve"> iç çapı 800mm, sabitleme kelepçeli yükseklik ayarlı üst kapak kısımlı, giriş –çıkış </w:t>
      </w:r>
      <w:r w:rsidR="00686BA7">
        <w:rPr>
          <w:rFonts w:ascii="Arial" w:hAnsi="Arial" w:cs="Arial"/>
        </w:rPr>
        <w:t xml:space="preserve">arası yükseklik farkı 160mm, EN124’e göre yük sınıfı A:1,5 </w:t>
      </w:r>
      <w:r w:rsidR="00686BA7">
        <w:rPr>
          <w:rFonts w:ascii="Arial" w:hAnsi="Arial" w:cs="Arial"/>
        </w:rPr>
        <w:t>ton, B:12,5 ton , D:40ton (=</w:t>
      </w:r>
      <w:proofErr w:type="spellStart"/>
      <w:r w:rsidR="00686BA7">
        <w:rPr>
          <w:rFonts w:ascii="Arial" w:hAnsi="Arial" w:cs="Arial"/>
        </w:rPr>
        <w:t>forklift</w:t>
      </w:r>
      <w:proofErr w:type="spellEnd"/>
      <w:r w:rsidR="00686BA7">
        <w:rPr>
          <w:rFonts w:ascii="Arial" w:hAnsi="Arial" w:cs="Arial"/>
        </w:rPr>
        <w:t xml:space="preserve"> ve kamyon trafiğine dayanıklı) tipi üst kapak </w:t>
      </w:r>
      <w:proofErr w:type="spellStart"/>
      <w:r w:rsidR="00686BA7">
        <w:rPr>
          <w:rFonts w:ascii="Arial" w:hAnsi="Arial" w:cs="Arial"/>
        </w:rPr>
        <w:t>seçenekli,</w:t>
      </w:r>
      <w:r w:rsidR="00686BA7">
        <w:rPr>
          <w:rFonts w:ascii="Arial" w:hAnsi="Arial" w:cs="Arial"/>
        </w:rPr>
        <w:t>gaz</w:t>
      </w:r>
      <w:proofErr w:type="spellEnd"/>
      <w:r w:rsidR="00686BA7">
        <w:rPr>
          <w:rFonts w:ascii="Arial" w:hAnsi="Arial" w:cs="Arial"/>
        </w:rPr>
        <w:t xml:space="preserve">-koku sızdırmaz contalı kapaklı , </w:t>
      </w:r>
      <w:proofErr w:type="spellStart"/>
      <w:r w:rsidR="00686BA7">
        <w:rPr>
          <w:rFonts w:ascii="Arial" w:hAnsi="Arial" w:cs="Arial"/>
        </w:rPr>
        <w:t>menhol</w:t>
      </w:r>
      <w:proofErr w:type="spellEnd"/>
      <w:r w:rsidR="00686BA7">
        <w:rPr>
          <w:rFonts w:ascii="Arial" w:hAnsi="Arial" w:cs="Arial"/>
        </w:rPr>
        <w:t xml:space="preserve"> kapağını kaldırmak için anahtarı dahil, polietilen kontrol rögarı.</w:t>
      </w:r>
    </w:p>
    <w:p w:rsidR="00686BA7" w:rsidRDefault="00686BA7" w:rsidP="00F2596C">
      <w:pPr>
        <w:rPr>
          <w:rFonts w:ascii="Arial" w:hAnsi="Arial" w:cs="Arial"/>
        </w:rPr>
      </w:pPr>
    </w:p>
    <w:p w:rsidR="000D21A5" w:rsidRPr="000D21A5" w:rsidRDefault="000D21A5" w:rsidP="000D21A5">
      <w:pPr>
        <w:jc w:val="center"/>
        <w:rPr>
          <w:rFonts w:ascii="Arial" w:hAnsi="Arial" w:cs="Arial"/>
          <w:b/>
          <w:sz w:val="24"/>
          <w:szCs w:val="24"/>
          <w:u w:val="single"/>
        </w:rPr>
      </w:pPr>
      <w:r w:rsidRPr="000D21A5">
        <w:rPr>
          <w:rFonts w:ascii="Arial" w:hAnsi="Arial" w:cs="Arial"/>
          <w:b/>
          <w:sz w:val="24"/>
          <w:szCs w:val="24"/>
          <w:highlight w:val="yellow"/>
          <w:u w:val="single"/>
        </w:rPr>
        <w:t>YAĞ AYIRICILAR İÇİN DİĞER AKSESUARLAR</w:t>
      </w:r>
    </w:p>
    <w:p w:rsidR="00686BA7" w:rsidRDefault="00686BA7" w:rsidP="00F2596C">
      <w:pPr>
        <w:rPr>
          <w:rFonts w:ascii="Arial" w:hAnsi="Arial" w:cs="Arial"/>
        </w:rPr>
      </w:pPr>
    </w:p>
    <w:p w:rsidR="000D21A5" w:rsidRDefault="000D21A5" w:rsidP="000D21A5">
      <w:pPr>
        <w:jc w:val="center"/>
        <w:rPr>
          <w:rFonts w:ascii="Arial" w:hAnsi="Arial" w:cs="Arial"/>
          <w:b/>
        </w:rPr>
      </w:pPr>
      <w:r w:rsidRPr="000D21A5">
        <w:rPr>
          <w:rFonts w:ascii="Arial" w:hAnsi="Arial" w:cs="Arial"/>
          <w:b/>
        </w:rPr>
        <w:t>AYIRICI BOŞALTMA BAĞLANTILARI</w:t>
      </w:r>
    </w:p>
    <w:p w:rsidR="000D21A5" w:rsidRPr="000D21A5" w:rsidRDefault="000D21A5" w:rsidP="000D21A5">
      <w:pPr>
        <w:jc w:val="center"/>
        <w:rPr>
          <w:rFonts w:ascii="Arial" w:hAnsi="Arial" w:cs="Arial"/>
          <w:b/>
        </w:rPr>
      </w:pPr>
    </w:p>
    <w:p w:rsidR="00743502" w:rsidRPr="000D21A5" w:rsidRDefault="000D21A5" w:rsidP="000D21A5">
      <w:pPr>
        <w:pStyle w:val="ListeParagraf"/>
        <w:numPr>
          <w:ilvl w:val="0"/>
          <w:numId w:val="2"/>
        </w:numPr>
        <w:rPr>
          <w:rFonts w:ascii="Arial" w:hAnsi="Arial" w:cs="Arial"/>
        </w:rPr>
      </w:pPr>
      <w:r w:rsidRPr="000D21A5">
        <w:rPr>
          <w:rFonts w:ascii="Arial" w:hAnsi="Arial" w:cs="Arial"/>
        </w:rPr>
        <w:t>PETROL BOŞALTMA BAĞLANTISI</w:t>
      </w:r>
    </w:p>
    <w:p w:rsidR="000D21A5" w:rsidRDefault="000D21A5" w:rsidP="00F2596C">
      <w:pPr>
        <w:rPr>
          <w:rFonts w:ascii="Arial" w:hAnsi="Arial" w:cs="Arial"/>
        </w:rPr>
      </w:pPr>
      <w:r>
        <w:rPr>
          <w:rFonts w:ascii="Arial" w:hAnsi="Arial" w:cs="Arial"/>
        </w:rPr>
        <w:t xml:space="preserve">Ayırıcıya sabitlenerek yalnızca atık su yüzeyinde birikmiş olan petrol ürününün tahliyesini sağlayan Petrol boşaltma bağlantısı </w:t>
      </w:r>
    </w:p>
    <w:p w:rsidR="000D21A5" w:rsidRDefault="000D21A5" w:rsidP="000D21A5">
      <w:pPr>
        <w:pStyle w:val="ListeParagraf"/>
        <w:numPr>
          <w:ilvl w:val="0"/>
          <w:numId w:val="2"/>
        </w:numPr>
        <w:rPr>
          <w:rFonts w:ascii="Arial" w:hAnsi="Arial" w:cs="Arial"/>
        </w:rPr>
      </w:pPr>
      <w:r>
        <w:rPr>
          <w:rFonts w:ascii="Arial" w:hAnsi="Arial" w:cs="Arial"/>
        </w:rPr>
        <w:t xml:space="preserve">TORTU BOŞALTMA BAĞLANTISI </w:t>
      </w:r>
    </w:p>
    <w:p w:rsidR="000D21A5" w:rsidRDefault="000D21A5" w:rsidP="000D21A5">
      <w:pPr>
        <w:rPr>
          <w:rFonts w:ascii="Arial" w:hAnsi="Arial" w:cs="Arial"/>
        </w:rPr>
      </w:pPr>
      <w:r>
        <w:rPr>
          <w:rFonts w:ascii="Arial" w:hAnsi="Arial" w:cs="Arial"/>
        </w:rPr>
        <w:t>Ayırıcıya sabitlenerek yalnızca</w:t>
      </w:r>
      <w:r>
        <w:rPr>
          <w:rFonts w:ascii="Arial" w:hAnsi="Arial" w:cs="Arial"/>
        </w:rPr>
        <w:t xml:space="preserve"> tortu atığının veya ayırıcıdaki tüm içeriğin tahliyesini sağlayan tortu boşaltma bağlantısı</w:t>
      </w:r>
    </w:p>
    <w:p w:rsidR="00AB14D2" w:rsidRDefault="00B22876" w:rsidP="00B22876">
      <w:pPr>
        <w:pStyle w:val="ListeParagraf"/>
        <w:numPr>
          <w:ilvl w:val="0"/>
          <w:numId w:val="2"/>
        </w:numPr>
        <w:rPr>
          <w:rFonts w:ascii="Arial" w:hAnsi="Arial" w:cs="Arial"/>
        </w:rPr>
      </w:pPr>
      <w:r>
        <w:rPr>
          <w:rFonts w:ascii="Arial" w:hAnsi="Arial" w:cs="Arial"/>
        </w:rPr>
        <w:lastRenderedPageBreak/>
        <w:t xml:space="preserve">AYIRICI UZATMA PARÇASI </w:t>
      </w:r>
    </w:p>
    <w:p w:rsidR="00B22876" w:rsidRDefault="00B22876" w:rsidP="00B22876">
      <w:pPr>
        <w:rPr>
          <w:rFonts w:ascii="Arial" w:hAnsi="Arial" w:cs="Arial"/>
        </w:rPr>
      </w:pPr>
      <w:r>
        <w:rPr>
          <w:rFonts w:ascii="Arial" w:hAnsi="Arial" w:cs="Arial"/>
        </w:rPr>
        <w:t>Zemine gömme tip ayırıcılarda yüksekliği 400mm artırmak için kullanılan, sızdırmaz contası ile komple uzatma parçası.</w:t>
      </w:r>
    </w:p>
    <w:p w:rsidR="00B22876" w:rsidRDefault="00B22876" w:rsidP="00B22876">
      <w:pPr>
        <w:pStyle w:val="ListeParagraf"/>
        <w:numPr>
          <w:ilvl w:val="0"/>
          <w:numId w:val="2"/>
        </w:numPr>
        <w:rPr>
          <w:rFonts w:ascii="Arial" w:hAnsi="Arial" w:cs="Arial"/>
        </w:rPr>
      </w:pPr>
      <w:r>
        <w:rPr>
          <w:rFonts w:ascii="Arial" w:hAnsi="Arial" w:cs="Arial"/>
        </w:rPr>
        <w:t xml:space="preserve">ALARM ÜNİTELERİ </w:t>
      </w:r>
    </w:p>
    <w:p w:rsidR="00B22876" w:rsidRDefault="003169E3" w:rsidP="003169E3">
      <w:pPr>
        <w:rPr>
          <w:rFonts w:ascii="Arial" w:hAnsi="Arial" w:cs="Arial"/>
        </w:rPr>
      </w:pPr>
      <w:r w:rsidRPr="003169E3">
        <w:rPr>
          <w:rFonts w:ascii="Arial" w:hAnsi="Arial" w:cs="Arial"/>
        </w:rPr>
        <w:t>-</w:t>
      </w:r>
      <w:r w:rsidR="00B22876" w:rsidRPr="003169E3">
        <w:rPr>
          <w:rFonts w:ascii="Arial" w:hAnsi="Arial" w:cs="Arial"/>
        </w:rPr>
        <w:t xml:space="preserve">Seviye Alarmı: </w:t>
      </w:r>
      <w:r>
        <w:rPr>
          <w:rFonts w:ascii="Arial" w:hAnsi="Arial" w:cs="Arial"/>
        </w:rPr>
        <w:t>Ayırıcı içindeki petrol ürünü seviyesinin izlenmesi için kullanılan seviye alarmı.</w:t>
      </w:r>
    </w:p>
    <w:p w:rsidR="003169E3" w:rsidRDefault="003169E3" w:rsidP="003169E3">
      <w:pPr>
        <w:rPr>
          <w:rFonts w:ascii="Arial" w:hAnsi="Arial" w:cs="Arial"/>
        </w:rPr>
      </w:pPr>
      <w:r>
        <w:rPr>
          <w:rFonts w:ascii="Arial" w:hAnsi="Arial" w:cs="Arial"/>
        </w:rPr>
        <w:t>-Çıkış Tıkanma Alarmı: Ayırıcı çıkışında tıkanma olduğunda veya ayırıcıya geliş debisi ayırıcı kapasitesinden yüksek olduğunda uyarı veren çıkış tıkanma alarmı.</w:t>
      </w:r>
    </w:p>
    <w:p w:rsidR="003169E3" w:rsidRDefault="003169E3" w:rsidP="003169E3">
      <w:pPr>
        <w:rPr>
          <w:rFonts w:ascii="Arial" w:hAnsi="Arial" w:cs="Arial"/>
        </w:rPr>
      </w:pPr>
    </w:p>
    <w:p w:rsidR="003169E3" w:rsidRDefault="003169E3" w:rsidP="003169E3">
      <w:pPr>
        <w:pStyle w:val="ListeParagraf"/>
        <w:numPr>
          <w:ilvl w:val="0"/>
          <w:numId w:val="2"/>
        </w:numPr>
        <w:rPr>
          <w:rFonts w:ascii="Arial" w:hAnsi="Arial" w:cs="Arial"/>
        </w:rPr>
      </w:pPr>
      <w:r>
        <w:rPr>
          <w:rFonts w:ascii="Arial" w:hAnsi="Arial" w:cs="Arial"/>
        </w:rPr>
        <w:t>NUMUNE HATTI;</w:t>
      </w:r>
      <w:r w:rsidR="00265683">
        <w:rPr>
          <w:rFonts w:ascii="Arial" w:hAnsi="Arial" w:cs="Arial"/>
        </w:rPr>
        <w:t xml:space="preserve"> </w:t>
      </w:r>
      <w:r>
        <w:rPr>
          <w:rFonts w:ascii="Arial" w:hAnsi="Arial" w:cs="Arial"/>
        </w:rPr>
        <w:t xml:space="preserve">KOALESANS FİLTRE </w:t>
      </w:r>
    </w:p>
    <w:p w:rsidR="00265683" w:rsidRDefault="00265683" w:rsidP="00265683">
      <w:pPr>
        <w:pStyle w:val="ListeParagraf"/>
        <w:rPr>
          <w:rFonts w:ascii="Arial" w:hAnsi="Arial" w:cs="Arial"/>
        </w:rPr>
      </w:pPr>
    </w:p>
    <w:p w:rsidR="003169E3" w:rsidRDefault="003169E3" w:rsidP="003169E3">
      <w:pPr>
        <w:pStyle w:val="ListeParagraf"/>
        <w:numPr>
          <w:ilvl w:val="0"/>
          <w:numId w:val="4"/>
        </w:numPr>
        <w:rPr>
          <w:rFonts w:ascii="Arial" w:hAnsi="Arial" w:cs="Arial"/>
        </w:rPr>
      </w:pPr>
      <w:r>
        <w:rPr>
          <w:rFonts w:ascii="Arial" w:hAnsi="Arial" w:cs="Arial"/>
        </w:rPr>
        <w:t xml:space="preserve">Numune </w:t>
      </w:r>
      <w:r w:rsidR="00265683">
        <w:rPr>
          <w:rFonts w:ascii="Arial" w:hAnsi="Arial" w:cs="Arial"/>
        </w:rPr>
        <w:t>Hattı: Ayıcı çıkışından kolayca numune almak için döşenen hat ve hattan numune almayı sağlayan paslanmaz çelik el pompası.</w:t>
      </w:r>
    </w:p>
    <w:p w:rsidR="00265683" w:rsidRDefault="00265683" w:rsidP="003169E3">
      <w:pPr>
        <w:pStyle w:val="ListeParagraf"/>
        <w:numPr>
          <w:ilvl w:val="0"/>
          <w:numId w:val="4"/>
        </w:numPr>
        <w:rPr>
          <w:rFonts w:ascii="Arial" w:hAnsi="Arial" w:cs="Arial"/>
        </w:rPr>
      </w:pPr>
      <w:r>
        <w:rPr>
          <w:rFonts w:ascii="Arial" w:hAnsi="Arial" w:cs="Arial"/>
        </w:rPr>
        <w:t>Koalesens Filtre Seti: Ayırıcıda daha küçük petrol ürünü parçacıklarının büyük parçacıklara birleştirilmesi yolu ile daha sağlıklı ayırma sağlayan Koalesens (birleşim) filtresi seti.</w:t>
      </w:r>
    </w:p>
    <w:p w:rsidR="00265683" w:rsidRPr="003169E3" w:rsidRDefault="00265683" w:rsidP="00265683">
      <w:pPr>
        <w:pStyle w:val="ListeParagraf"/>
        <w:rPr>
          <w:rFonts w:ascii="Arial" w:hAnsi="Arial" w:cs="Arial"/>
        </w:rPr>
      </w:pPr>
      <w:bookmarkStart w:id="0" w:name="_GoBack"/>
      <w:bookmarkEnd w:id="0"/>
    </w:p>
    <w:sectPr w:rsidR="00265683" w:rsidRPr="003169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B657A"/>
    <w:multiLevelType w:val="hybridMultilevel"/>
    <w:tmpl w:val="E084EA32"/>
    <w:lvl w:ilvl="0" w:tplc="932C9C18">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60F72CF"/>
    <w:multiLevelType w:val="hybridMultilevel"/>
    <w:tmpl w:val="10B2DF8E"/>
    <w:lvl w:ilvl="0" w:tplc="9CFA91E8">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4F1483C"/>
    <w:multiLevelType w:val="hybridMultilevel"/>
    <w:tmpl w:val="EA60F560"/>
    <w:lvl w:ilvl="0" w:tplc="085C368C">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AC65DFC"/>
    <w:multiLevelType w:val="hybridMultilevel"/>
    <w:tmpl w:val="A59A87FC"/>
    <w:lvl w:ilvl="0" w:tplc="49E06A54">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DAC"/>
    <w:rsid w:val="00071F4A"/>
    <w:rsid w:val="000D21A5"/>
    <w:rsid w:val="00265683"/>
    <w:rsid w:val="002A07F9"/>
    <w:rsid w:val="003169E3"/>
    <w:rsid w:val="003323C3"/>
    <w:rsid w:val="00400319"/>
    <w:rsid w:val="00686BA7"/>
    <w:rsid w:val="00743502"/>
    <w:rsid w:val="007C12E3"/>
    <w:rsid w:val="00AB14D2"/>
    <w:rsid w:val="00B22876"/>
    <w:rsid w:val="00BE56FA"/>
    <w:rsid w:val="00D22DAC"/>
    <w:rsid w:val="00D629B4"/>
    <w:rsid w:val="00D77CB4"/>
    <w:rsid w:val="00DA2BFE"/>
    <w:rsid w:val="00DE62EA"/>
    <w:rsid w:val="00F2596C"/>
    <w:rsid w:val="00F83B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5A922-B45B-4E3B-BC72-B1109E4F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7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4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1299</TotalTime>
  <Pages>3</Pages>
  <Words>700</Words>
  <Characters>3992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cisil.vural</dc:creator>
  <cp:keywords/>
  <dc:description/>
  <cp:lastModifiedBy>cisil.vural</cp:lastModifiedBy>
  <cp:revision>8</cp:revision>
  <dcterms:created xsi:type="dcterms:W3CDTF">2015-12-08T15:01:00Z</dcterms:created>
  <dcterms:modified xsi:type="dcterms:W3CDTF">2015-12-18T13:39:00Z</dcterms:modified>
</cp:coreProperties>
</file>